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1353C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jc w:val="center"/>
        <w:rPr>
          <w:rFonts w:ascii="Times New Roman" w:hAnsi="Times New Roman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-128270</wp:posOffset>
            </wp:positionH>
            <wp:positionV relativeFrom="paragraph">
              <wp:posOffset>-653415</wp:posOffset>
            </wp:positionV>
            <wp:extent cx="6297930" cy="9192895"/>
            <wp:effectExtent l="0" t="0" r="7620" b="825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7930" cy="919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inline distT="0" distB="0" distL="0" distR="0">
            <wp:extent cx="907415" cy="91440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3" r="323" b="4408"/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914400"/>
                    </a:xfrm>
                    <a:prstGeom prst="rect">
                      <a:avLst/>
                    </a:prstGeom>
                    <a:solidFill>
                      <a:srgbClr val="FDEADA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3F4B454">
      <w:pPr>
        <w:widowControl w:val="0"/>
        <w:tabs>
          <w:tab w:val="clear" w:pos="4320"/>
          <w:tab w:val="clear" w:pos="7900"/>
        </w:tabs>
        <w:overflowPunct/>
        <w:autoSpaceDE/>
        <w:autoSpaceDN/>
        <w:adjustRightInd/>
        <w:spacing w:before="0" w:after="0"/>
        <w:jc w:val="center"/>
        <w:textAlignment w:val="auto"/>
        <w:rPr>
          <w:rFonts w:ascii="Times New Roman" w:hAnsi="Times New Roman"/>
          <w:b/>
          <w:kern w:val="2"/>
          <w:sz w:val="28"/>
          <w:szCs w:val="28"/>
          <w:lang w:val="es-ES" w:eastAsia="zh-CN"/>
        </w:rPr>
      </w:pPr>
      <w:r>
        <w:rPr>
          <w:rFonts w:ascii="Times New Roman" w:hAnsi="Times New Roman"/>
          <w:b/>
          <w:kern w:val="2"/>
          <w:sz w:val="28"/>
          <w:szCs w:val="28"/>
          <w:lang w:val="es-ES" w:eastAsia="zh-CN"/>
        </w:rPr>
        <w:t xml:space="preserve">LICENCIA DE ACTIVIDAD </w:t>
      </w:r>
    </w:p>
    <w:p w14:paraId="5A9E2A05">
      <w:pPr>
        <w:widowControl w:val="0"/>
        <w:tabs>
          <w:tab w:val="clear" w:pos="4320"/>
          <w:tab w:val="clear" w:pos="7900"/>
        </w:tabs>
        <w:overflowPunct/>
        <w:autoSpaceDE/>
        <w:autoSpaceDN/>
        <w:adjustRightInd/>
        <w:spacing w:before="0" w:after="0"/>
        <w:jc w:val="center"/>
        <w:textAlignment w:val="auto"/>
        <w:rPr>
          <w:rFonts w:ascii="Times New Roman" w:hAnsi="Times New Roman"/>
          <w:bCs/>
          <w:kern w:val="2"/>
          <w:sz w:val="28"/>
          <w:szCs w:val="28"/>
          <w:lang w:val="es-ES" w:eastAsia="zh-CN"/>
        </w:rPr>
      </w:pPr>
      <w:r>
        <w:rPr>
          <w:rFonts w:ascii="Times New Roman" w:hAnsi="Times New Roman"/>
          <w:bCs/>
          <w:kern w:val="2"/>
          <w:sz w:val="28"/>
          <w:szCs w:val="28"/>
          <w:lang w:val="es-ES" w:eastAsia="zh-CN"/>
        </w:rPr>
        <w:t xml:space="preserve"> </w:t>
      </w:r>
    </w:p>
    <w:p w14:paraId="45BD1775">
      <w:pPr>
        <w:widowControl w:val="0"/>
        <w:tabs>
          <w:tab w:val="left" w:pos="482"/>
          <w:tab w:val="clear" w:pos="4320"/>
          <w:tab w:val="clear" w:pos="7900"/>
        </w:tabs>
        <w:wordWrap w:val="0"/>
        <w:overflowPunct/>
        <w:autoSpaceDE/>
        <w:autoSpaceDN/>
        <w:snapToGrid w:val="0"/>
        <w:spacing w:before="120" w:beforeLines="50" w:after="120" w:afterLines="50"/>
        <w:ind w:right="422"/>
        <w:jc w:val="right"/>
        <w:rPr>
          <w:rFonts w:ascii="Times New Roman" w:hAnsi="Times New Roman"/>
          <w:b/>
          <w:snapToGrid w:val="0"/>
          <w:szCs w:val="21"/>
          <w:lang w:val="es-ES" w:eastAsia="zh-CN"/>
        </w:rPr>
      </w:pPr>
    </w:p>
    <w:p w14:paraId="6F7E54F2">
      <w:pPr>
        <w:widowControl w:val="0"/>
        <w:tabs>
          <w:tab w:val="left" w:pos="482"/>
          <w:tab w:val="clear" w:pos="4320"/>
          <w:tab w:val="clear" w:pos="7900"/>
        </w:tabs>
        <w:wordWrap w:val="0"/>
        <w:overflowPunct/>
        <w:autoSpaceDE/>
        <w:autoSpaceDN/>
        <w:snapToGrid w:val="0"/>
        <w:spacing w:before="120" w:beforeLines="50" w:after="120" w:afterLines="50"/>
        <w:ind w:right="422"/>
        <w:jc w:val="right"/>
        <w:rPr>
          <w:rFonts w:ascii="Times New Roman" w:hAnsi="Times New Roman"/>
          <w:snapToGrid w:val="0"/>
          <w:sz w:val="21"/>
          <w:szCs w:val="21"/>
          <w:lang w:val="es-ES" w:eastAsia="zh-CN"/>
        </w:rPr>
      </w:pPr>
      <w:r>
        <w:rPr>
          <w:rFonts w:ascii="Times New Roman" w:hAnsi="Times New Roman"/>
          <w:b/>
          <w:snapToGrid w:val="0"/>
          <w:sz w:val="20"/>
          <w:szCs w:val="20"/>
          <w:lang w:val="es-ES" w:eastAsia="zh-CN"/>
        </w:rPr>
        <w:t xml:space="preserve">Código Unificado de Crédito Social: </w:t>
      </w:r>
      <w:r>
        <w:rPr>
          <w:rFonts w:hint="eastAsia" w:ascii="Times New Roman" w:hAnsi="Times New Roman"/>
          <w:b/>
          <w:snapToGrid w:val="0"/>
          <w:sz w:val="20"/>
          <w:szCs w:val="20"/>
          <w:lang w:val="en-US" w:eastAsia="zh-CN"/>
        </w:rPr>
        <w:t>{{credit_code}}</w:t>
      </w:r>
    </w:p>
    <w:tbl>
      <w:tblPr>
        <w:tblStyle w:val="6"/>
        <w:tblpPr w:leftFromText="180" w:rightFromText="180" w:vertAnchor="text" w:horzAnchor="margin" w:tblpXSpec="center" w:tblpY="2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552"/>
      </w:tblGrid>
      <w:tr w14:paraId="454DC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2235" w:type="dxa"/>
          </w:tcPr>
          <w:p w14:paraId="4059F3CB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0"/>
                <w:szCs w:val="20"/>
                <w:lang w:val="es-ES"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  <w:t>Razón Social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 w:eastAsia="zh-CN"/>
              </w:rPr>
              <w:t>：</w:t>
            </w:r>
          </w:p>
        </w:tc>
        <w:tc>
          <w:tcPr>
            <w:tcW w:w="6552" w:type="dxa"/>
          </w:tcPr>
          <w:p w14:paraId="5582DA00">
            <w:pPr>
              <w:spacing w:after="206" w:afterAutospacing="0"/>
              <w:jc w:val="both"/>
              <w:rPr>
                <w:rStyle w:val="11"/>
                <w:rFonts w:hint="eastAsia"/>
                <w:lang w:val="es-ES"/>
              </w:rPr>
            </w:pPr>
            <w:r>
              <w:rPr>
                <w:rStyle w:val="11"/>
                <w:rFonts w:hint="eastAsia"/>
              </w:rPr>
              <w:t>{{company_name}}</w:t>
            </w:r>
          </w:p>
          <w:p w14:paraId="45232C9B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0" w:beforeAutospacing="0" w:after="120" w:afterLines="50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</w:p>
        </w:tc>
      </w:tr>
      <w:tr w14:paraId="40AF5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2235" w:type="dxa"/>
          </w:tcPr>
          <w:p w14:paraId="258CA443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Tipo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6552" w:type="dxa"/>
          </w:tcPr>
          <w:p w14:paraId="2FE8D4C4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hint="eastAsia" w:ascii="Arial" w:hAnsi="Arial" w:cs="Arial"/>
                <w:color w:val="000000"/>
                <w:kern w:val="24"/>
                <w:sz w:val="18"/>
                <w:szCs w:val="18"/>
              </w:rPr>
              <w:t>{{company_type}}</w:t>
            </w:r>
          </w:p>
        </w:tc>
      </w:tr>
      <w:tr w14:paraId="5B8F9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exact"/>
        </w:trPr>
        <w:tc>
          <w:tcPr>
            <w:tcW w:w="2235" w:type="dxa"/>
          </w:tcPr>
          <w:p w14:paraId="41390379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Domicilio</w:t>
            </w:r>
            <w:r>
              <w:rPr>
                <w:rFonts w:hint="default" w:ascii="Times New Roman" w:hAnsi="Times New Roman"/>
                <w:b/>
                <w:bCs/>
                <w:sz w:val="20"/>
                <w:szCs w:val="20"/>
                <w:lang w:val="es-ES"/>
              </w:rPr>
              <w:t xml:space="preserve"> Social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6552" w:type="dxa"/>
          </w:tcPr>
          <w:p w14:paraId="4306BFB8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rPr>
                <w:rFonts w:hint="default" w:ascii="Times New Roman" w:hAnsi="Times New Roman" w:eastAsia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color w:val="000000"/>
                <w:kern w:val="24"/>
                <w:sz w:val="18"/>
                <w:szCs w:val="18"/>
                <w:lang w:val="en-US" w:eastAsia="zh-CN"/>
              </w:rPr>
              <w:t>{{address}}</w:t>
            </w:r>
          </w:p>
        </w:tc>
      </w:tr>
      <w:tr w14:paraId="3B6B8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35" w:type="dxa"/>
          </w:tcPr>
          <w:p w14:paraId="4DA3B706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 w:line="276" w:lineRule="auto"/>
              <w:ind w:left="502" w:hanging="502" w:hangingChars="250"/>
              <w:jc w:val="right"/>
              <w:rPr>
                <w:rFonts w:ascii="Times New Roman" w:hAnsi="Times New Roman"/>
                <w:b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napToGrid w:val="0"/>
                <w:sz w:val="20"/>
                <w:szCs w:val="20"/>
                <w:lang w:eastAsia="zh-CN"/>
              </w:rPr>
              <w:t>Representante legal：</w:t>
            </w:r>
          </w:p>
        </w:tc>
        <w:tc>
          <w:tcPr>
            <w:tcW w:w="6552" w:type="dxa"/>
          </w:tcPr>
          <w:p w14:paraId="1B21DF6F">
            <w:pP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kern w:val="24"/>
                <w:sz w:val="18"/>
                <w:szCs w:val="18"/>
              </w:rPr>
              <w:t>{{legal_person}}</w:t>
            </w:r>
          </w:p>
          <w:p w14:paraId="63C6281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 w:line="360" w:lineRule="auto"/>
              <w:jc w:val="both"/>
              <w:rPr>
                <w:rFonts w:hint="default"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</w:p>
        </w:tc>
      </w:tr>
      <w:tr w14:paraId="5DD94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35" w:type="dxa"/>
          </w:tcPr>
          <w:p w14:paraId="3C95689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  <w:t xml:space="preserve">Fecha de 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>Crea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  <w:t>ción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 w:eastAsia="zh-CN"/>
              </w:rPr>
              <w:t>：</w:t>
            </w:r>
          </w:p>
        </w:tc>
        <w:tc>
          <w:tcPr>
            <w:tcW w:w="6552" w:type="dxa"/>
          </w:tcPr>
          <w:p w14:paraId="04C6D559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  <w:r>
              <w:rPr>
                <w:rFonts w:hint="default" w:ascii="Arial" w:hAnsi="Arial" w:cs="Arial"/>
                <w:color w:val="000000"/>
                <w:kern w:val="24"/>
                <w:sz w:val="18"/>
                <w:szCs w:val="18"/>
                <w:lang w:val="es-ES"/>
              </w:rPr>
              <w:t>{{establishment_date}}</w:t>
            </w:r>
          </w:p>
        </w:tc>
      </w:tr>
      <w:tr w14:paraId="1B28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787" w:type="dxa"/>
            <w:gridSpan w:val="2"/>
          </w:tcPr>
          <w:p w14:paraId="582E6767">
            <w:pP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>Aviso improtante：</w:t>
            </w:r>
          </w:p>
          <w:p w14:paraId="0613EDCA">
            <w:pPr>
              <w:rPr>
                <w:rFonts w:hint="default" w:cs="Arial"/>
                <w:color w:val="000000"/>
                <w:kern w:val="24"/>
                <w:sz w:val="15"/>
                <w:szCs w:val="15"/>
                <w:lang w:val="es-ES"/>
              </w:rPr>
            </w:pPr>
            <w:r>
              <w:rPr>
                <w:rFonts w:hint="default" w:cs="Arial"/>
                <w:color w:val="000000"/>
                <w:kern w:val="24"/>
                <w:sz w:val="13"/>
                <w:szCs w:val="13"/>
                <w:lang w:val="es-ES"/>
              </w:rPr>
              <w:t>1</w:t>
            </w:r>
            <w:r>
              <w:rPr>
                <w:rFonts w:hint="default" w:cs="Arial"/>
                <w:color w:val="000000"/>
                <w:kern w:val="24"/>
                <w:sz w:val="15"/>
                <w:szCs w:val="15"/>
                <w:lang w:val="es-ES"/>
              </w:rPr>
              <w:t xml:space="preserve"> .El objeto social del sujeto corporativo queda establecido en Ios estatutos y esta sujeto a las disposiciones legales vigentes. Se podrá iniciar la actividad empresarial correspondiente únicamente tras haber pasado la inspección y haber obtenido la aprobación de acuerdo con la legislación correspondiente.</w:t>
            </w:r>
          </w:p>
          <w:p w14:paraId="5D70510C">
            <w:pPr>
              <w:numPr>
                <w:ilvl w:val="0"/>
                <w:numId w:val="1"/>
              </w:numPr>
              <w:rPr>
                <w:rFonts w:hint="default" w:cs="Arial"/>
                <w:color w:val="000000"/>
                <w:kern w:val="24"/>
                <w:sz w:val="15"/>
                <w:szCs w:val="15"/>
                <w:lang w:val="es-ES"/>
              </w:rPr>
            </w:pPr>
            <w:r>
              <w:rPr>
                <w:rFonts w:hint="default" w:cs="Arial"/>
                <w:color w:val="000000"/>
                <w:kern w:val="24"/>
                <w:sz w:val="15"/>
                <w:szCs w:val="15"/>
                <w:lang w:val="es-ES"/>
              </w:rPr>
              <w:t>Acceda a la Plataforma de Autorización de Registro Comercial e Información de Crédito en la esquina inferior izquierda o escanee el código QR en la parte superior derecha para consultar información sobre el objeto social, la situación financiera, los proyectos de negocio aprobados y otros datos pertinentes.</w:t>
            </w:r>
          </w:p>
          <w:p w14:paraId="780AF194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cs="Arial"/>
                <w:color w:val="000000"/>
                <w:kern w:val="24"/>
                <w:sz w:val="15"/>
                <w:szCs w:val="15"/>
                <w:lang w:val="es-ES"/>
              </w:rPr>
            </w:pPr>
            <w:r>
              <w:rPr>
                <w:rFonts w:hint="default" w:cs="Arial"/>
                <w:color w:val="000000"/>
                <w:kern w:val="24"/>
                <w:sz w:val="15"/>
                <w:szCs w:val="15"/>
                <w:lang w:val="es-ES"/>
              </w:rPr>
              <w:t xml:space="preserve">El sujeto corporativo deberá presentar al organismo de registro el información anual dentro de los dos meses posteriores al aniversario del establecimiento de cada año. Y deberá publicar los datos empresariales de acuerdo con las "Directrices de publicación de información empresarial"..   </w:t>
            </w:r>
            <w:bookmarkStart w:id="0" w:name="_GoBack"/>
            <w:bookmarkEnd w:id="0"/>
          </w:p>
          <w:p w14:paraId="29FE2CB2">
            <w:pPr>
              <w:pStyle w:val="2"/>
              <w:spacing w:before="244" w:line="225" w:lineRule="auto"/>
              <w:ind w:right="180" w:firstLine="700" w:firstLineChars="350"/>
              <w:rPr>
                <w:rFonts w:hint="eastAsia" w:ascii="Times New Roman" w:hAnsi="Times New Roman" w:eastAsia="宋体"/>
                <w:snapToGrid w:val="0"/>
                <w:sz w:val="20"/>
                <w:szCs w:val="20"/>
                <w:lang w:val="es-ES" w:eastAsia="zh-CN"/>
              </w:rPr>
            </w:pPr>
          </w:p>
        </w:tc>
      </w:tr>
    </w:tbl>
    <w:p w14:paraId="11D56E67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ind w:right="422"/>
        <w:rPr>
          <w:rFonts w:ascii="Times New Roman" w:hAnsi="Times New Roman"/>
          <w:snapToGrid w:val="0"/>
          <w:sz w:val="20"/>
          <w:szCs w:val="20"/>
          <w:lang w:val="es-ES" w:eastAsia="zh-CN"/>
        </w:rPr>
      </w:pPr>
    </w:p>
    <w:tbl>
      <w:tblPr>
        <w:tblStyle w:val="6"/>
        <w:tblpPr w:leftFromText="180" w:rightFromText="180" w:vertAnchor="text" w:horzAnchor="page" w:tblpX="4181" w:tblpY="23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</w:tblGrid>
      <w:tr w14:paraId="776B0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096" w:type="dxa"/>
          </w:tcPr>
          <w:p w14:paraId="4A27DF94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ind w:right="800" w:firstLine="2409" w:firstLineChars="1000"/>
              <w:rPr>
                <w:rFonts w:ascii="Times New Roman" w:hAnsi="Times New Roman"/>
                <w:b/>
                <w:snapToGrid w:val="0"/>
                <w:sz w:val="24"/>
                <w:szCs w:val="24"/>
                <w:lang w:val="es-ES" w:eastAsia="zh-CN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  <w:lang w:val="es-ES" w:eastAsia="zh-CN"/>
              </w:rPr>
              <w:t>Organismo de Registro:</w:t>
            </w:r>
          </w:p>
          <w:p w14:paraId="3EB38F75">
            <w:pPr>
              <w:ind w:left="145"/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  <w:t>Sello</w:t>
            </w:r>
            <w:r>
              <w:rPr>
                <w:rFonts w:hint="eastAsia" w:ascii="Times New Roman" w:hAnsi="Times New Roman"/>
                <w:snapToGrid w:val="0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Oficina de Administración y Supervisión de Mercado </w:t>
            </w:r>
            <w:r>
              <w:rPr>
                <w:rFonts w:hint="eastAsia" w:ascii="Arial" w:hAnsi="Arial" w:cs="Arial"/>
                <w:color w:val="000000"/>
                <w:kern w:val="24"/>
                <w:sz w:val="18"/>
                <w:szCs w:val="18"/>
                <w:lang w:val="es-ES"/>
              </w:rPr>
              <w:t>{{issuing_authority}}</w:t>
            </w:r>
          </w:p>
          <w:p w14:paraId="63043787">
            <w:pPr>
              <w:ind w:left="0" w:firstLine="0" w:firstLineChars="0"/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</w:p>
        </w:tc>
      </w:tr>
      <w:tr w14:paraId="0577B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096" w:type="dxa"/>
          </w:tcPr>
          <w:p w14:paraId="2A3054C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wordWrap w:val="0"/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cs="Arial"/>
                <w:color w:val="000000" w:themeColor="text1"/>
                <w:kern w:val="24"/>
                <w:sz w:val="18"/>
                <w:szCs w:val="18"/>
                <w:lang w:val="es-ES"/>
                <w14:textFill>
                  <w14:solidFill>
                    <w14:schemeClr w14:val="tx1"/>
                  </w14:solidFill>
                </w14:textFill>
              </w:rPr>
              <w:t>{{approval_date}}</w:t>
            </w:r>
          </w:p>
        </w:tc>
      </w:tr>
    </w:tbl>
    <w:p w14:paraId="216A3F70">
      <w:pPr>
        <w:spacing w:before="0" w:after="0"/>
        <w:rPr>
          <w:vanish/>
        </w:rPr>
      </w:pPr>
    </w:p>
    <w:p w14:paraId="57395FDA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jc w:val="both"/>
        <w:rPr>
          <w:rFonts w:ascii="Times New Roman" w:hAnsi="Times New Roman"/>
          <w:snapToGrid w:val="0"/>
          <w:sz w:val="21"/>
          <w:szCs w:val="21"/>
          <w:lang w:eastAsia="zh-CN"/>
        </w:rPr>
      </w:pPr>
    </w:p>
    <w:p w14:paraId="702C6C74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jc w:val="right"/>
        <w:rPr>
          <w:rFonts w:ascii="Times New Roman" w:hAnsi="Times New Roman"/>
          <w:snapToGrid w:val="0"/>
          <w:sz w:val="21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789940</wp:posOffset>
                </wp:positionH>
                <wp:positionV relativeFrom="paragraph">
                  <wp:posOffset>29845</wp:posOffset>
                </wp:positionV>
                <wp:extent cx="929005" cy="9328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10030" y="5754370"/>
                          <a:ext cx="92900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02EEA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{{license_qrcode_image}}</w:t>
                            </w:r>
                          </w:p>
                          <w:p w14:paraId="1CF932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2pt;margin-top:2.35pt;height:73.45pt;width:73.15pt;z-index:251660288;mso-width-relative:page;mso-height-relative:page;" filled="f" stroked="f" coordsize="21600,21600" o:gfxdata="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Sn0pV2QAAAAkBAAAPAAAA&#10;AAAAAAEAIAAAACIAAABkcnMvZG93bnJldi54bWxQSwECFAAUAAAACACHTuJAcfcjvE0CAAB9BAAA&#10;DgAAAAAAAAABACAAAAAo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702EEA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{{license_qrcode_image}}</w:t>
                      </w:r>
                    </w:p>
                    <w:p w14:paraId="1CF9327D"/>
                  </w:txbxContent>
                </v:textbox>
              </v:shape>
            </w:pict>
          </mc:Fallback>
        </mc:AlternateContent>
      </w:r>
    </w:p>
    <w:p w14:paraId="265B18C5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ind w:right="840"/>
        <w:jc w:val="center"/>
        <w:rPr>
          <w:rFonts w:ascii="Times New Roman" w:hAnsi="Times New Roman"/>
          <w:snapToGrid w:val="0"/>
          <w:sz w:val="21"/>
          <w:szCs w:val="21"/>
          <w:lang w:eastAsia="zh-CN"/>
        </w:rPr>
      </w:pPr>
    </w:p>
    <w:p w14:paraId="179D61B5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</w:rPr>
      </w:pPr>
    </w:p>
    <w:p w14:paraId="3259EA58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</w:rPr>
      </w:pPr>
    </w:p>
    <w:p w14:paraId="2DD743FA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</w:rPr>
      </w:pPr>
    </w:p>
    <w:p w14:paraId="3915B4BA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  <w:lang w:val="es-ES"/>
        </w:rPr>
      </w:pPr>
    </w:p>
    <w:p w14:paraId="6D5A405A">
      <w:pPr>
        <w:tabs>
          <w:tab w:val="left" w:pos="3665"/>
          <w:tab w:val="clear" w:pos="4320"/>
        </w:tabs>
        <w:rPr>
          <w:rFonts w:ascii="Times New Roman" w:hAnsi="Times New Roman"/>
          <w:kern w:val="2"/>
          <w:sz w:val="18"/>
          <w:szCs w:val="18"/>
          <w:lang w:val="es-ES" w:eastAsia="zh-CN"/>
        </w:rPr>
      </w:pPr>
    </w:p>
    <w:p w14:paraId="1AB5FA3D">
      <w:pPr>
        <w:spacing w:before="0" w:line="240" w:lineRule="auto"/>
        <w:ind w:left="0" w:right="0" w:firstLine="0"/>
        <w:jc w:val="left"/>
        <w:rPr>
          <w:sz w:val="18"/>
        </w:rPr>
      </w:pPr>
      <w:r>
        <w:rPr>
          <w:sz w:val="18"/>
        </w:rPr>
        <w:t>Se deberá entregar el informe de cuentas anual entre el 1 de enero y el 30 de junio.</w:t>
      </w:r>
    </w:p>
    <w:p w14:paraId="3658FCAA">
      <w:pPr>
        <w:spacing w:before="0"/>
        <w:rPr>
          <w:color w:val="0561C1"/>
          <w:sz w:val="18"/>
          <w:u w:val="single" w:color="0561C1"/>
        </w:rPr>
      </w:pPr>
      <w:r>
        <w:rPr>
          <w:sz w:val="18"/>
        </w:rPr>
        <w:t xml:space="preserve">Sitio web de la Plataforma de Autorización de Registro Comercial e Información de Crédito: </w:t>
      </w:r>
      <w:r>
        <w:fldChar w:fldCharType="begin"/>
      </w:r>
      <w:r>
        <w:instrText xml:space="preserve"> HYPERLINK "http://gsxt.gov.cn/" \h </w:instrText>
      </w:r>
      <w:r>
        <w:fldChar w:fldCharType="separate"/>
      </w:r>
      <w:r>
        <w:rPr>
          <w:color w:val="0561C1"/>
          <w:sz w:val="18"/>
          <w:u w:val="single" w:color="0561C1"/>
        </w:rPr>
        <w:t>http://gsxt.gov.cn/</w:t>
      </w:r>
      <w:r>
        <w:rPr>
          <w:color w:val="0561C1"/>
          <w:sz w:val="18"/>
          <w:u w:val="single" w:color="0561C1"/>
        </w:rPr>
        <w:fldChar w:fldCharType="end"/>
      </w:r>
    </w:p>
    <w:p w14:paraId="77A16C1B">
      <w:pPr>
        <w:spacing w:before="0"/>
        <w:rPr>
          <w:rFonts w:ascii="Times New Roman" w:hAnsi="Times New Roman"/>
          <w:kern w:val="2"/>
          <w:sz w:val="15"/>
          <w:szCs w:val="15"/>
          <w:lang w:val="es-ES" w:eastAsia="zh-CN"/>
        </w:rPr>
      </w:pPr>
      <w:r>
        <w:rPr>
          <w:sz w:val="18"/>
        </w:rPr>
        <w:t>Elaborado bajo la Supervisión de la Administración Nacional Industrial y Comercial de la República Popular</w:t>
      </w:r>
      <w:r>
        <w:rPr>
          <w:rFonts w:hint="default"/>
          <w:sz w:val="18"/>
          <w:lang w:val="es-ES"/>
        </w:rPr>
        <w:t xml:space="preserve"> </w:t>
      </w:r>
      <w:r>
        <w:rPr>
          <w:sz w:val="18"/>
        </w:rPr>
        <w:t>China</w:t>
      </w:r>
    </w:p>
    <w:sectPr>
      <w:footerReference r:id="rId4" w:type="default"/>
      <w:pgSz w:w="11906" w:h="16838"/>
      <w:pgMar w:top="1134" w:right="1134" w:bottom="1134" w:left="1134" w:header="850" w:footer="85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529A8">
    <w:pPr>
      <w:pStyle w:val="4"/>
    </w:pPr>
  </w:p>
  <w:p w14:paraId="58DFFCC7">
    <w:pPr>
      <w:rPr>
        <w:rFonts w:ascii="Times New Roman" w:hAnsi="Times New Roman"/>
        <w:sz w:val="21"/>
        <w:szCs w:val="21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E7A762"/>
    <w:multiLevelType w:val="singleLevel"/>
    <w:tmpl w:val="23E7A76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</w:docVars>
  <w:rsids>
    <w:rsidRoot w:val="006D13EE"/>
    <w:rsid w:val="00001EFF"/>
    <w:rsid w:val="00025500"/>
    <w:rsid w:val="000533AC"/>
    <w:rsid w:val="000719D0"/>
    <w:rsid w:val="00074AD9"/>
    <w:rsid w:val="00074D68"/>
    <w:rsid w:val="00087CD2"/>
    <w:rsid w:val="00087E3F"/>
    <w:rsid w:val="00093859"/>
    <w:rsid w:val="000A6CC2"/>
    <w:rsid w:val="001029AA"/>
    <w:rsid w:val="001042A8"/>
    <w:rsid w:val="0012310A"/>
    <w:rsid w:val="0016356E"/>
    <w:rsid w:val="001A566A"/>
    <w:rsid w:val="001F5728"/>
    <w:rsid w:val="001F769B"/>
    <w:rsid w:val="00204AF1"/>
    <w:rsid w:val="00212C87"/>
    <w:rsid w:val="0026789F"/>
    <w:rsid w:val="00296A7D"/>
    <w:rsid w:val="00303229"/>
    <w:rsid w:val="00306C41"/>
    <w:rsid w:val="003D143D"/>
    <w:rsid w:val="00407FBD"/>
    <w:rsid w:val="004C32B1"/>
    <w:rsid w:val="004C4081"/>
    <w:rsid w:val="004E0BBF"/>
    <w:rsid w:val="004E483D"/>
    <w:rsid w:val="005160E2"/>
    <w:rsid w:val="0054655C"/>
    <w:rsid w:val="00566C0E"/>
    <w:rsid w:val="005C2133"/>
    <w:rsid w:val="005D1D12"/>
    <w:rsid w:val="005D4A66"/>
    <w:rsid w:val="005F17A8"/>
    <w:rsid w:val="005F256F"/>
    <w:rsid w:val="00610280"/>
    <w:rsid w:val="0062186B"/>
    <w:rsid w:val="00633B22"/>
    <w:rsid w:val="00694F42"/>
    <w:rsid w:val="006A047F"/>
    <w:rsid w:val="006C0263"/>
    <w:rsid w:val="006D13EE"/>
    <w:rsid w:val="006E2624"/>
    <w:rsid w:val="007806C3"/>
    <w:rsid w:val="0078284A"/>
    <w:rsid w:val="007A2C1C"/>
    <w:rsid w:val="007B319B"/>
    <w:rsid w:val="00810061"/>
    <w:rsid w:val="008276EA"/>
    <w:rsid w:val="00831663"/>
    <w:rsid w:val="008605F7"/>
    <w:rsid w:val="008735DB"/>
    <w:rsid w:val="008736CF"/>
    <w:rsid w:val="00882560"/>
    <w:rsid w:val="008872FD"/>
    <w:rsid w:val="00892A27"/>
    <w:rsid w:val="008A12CC"/>
    <w:rsid w:val="008B623B"/>
    <w:rsid w:val="008F5C5F"/>
    <w:rsid w:val="0093082F"/>
    <w:rsid w:val="00933904"/>
    <w:rsid w:val="00964791"/>
    <w:rsid w:val="00991B8E"/>
    <w:rsid w:val="00997B76"/>
    <w:rsid w:val="009A7152"/>
    <w:rsid w:val="00A121D6"/>
    <w:rsid w:val="00A3357B"/>
    <w:rsid w:val="00A63346"/>
    <w:rsid w:val="00A673F1"/>
    <w:rsid w:val="00AA1E56"/>
    <w:rsid w:val="00AF18BC"/>
    <w:rsid w:val="00AF6F6A"/>
    <w:rsid w:val="00B00253"/>
    <w:rsid w:val="00B01C79"/>
    <w:rsid w:val="00B02DAB"/>
    <w:rsid w:val="00B43836"/>
    <w:rsid w:val="00B6748B"/>
    <w:rsid w:val="00B75577"/>
    <w:rsid w:val="00B873F6"/>
    <w:rsid w:val="00BC01CA"/>
    <w:rsid w:val="00C11944"/>
    <w:rsid w:val="00C17CF1"/>
    <w:rsid w:val="00C651C0"/>
    <w:rsid w:val="00C7353A"/>
    <w:rsid w:val="00CD171A"/>
    <w:rsid w:val="00CD3E92"/>
    <w:rsid w:val="00D030FC"/>
    <w:rsid w:val="00DD5371"/>
    <w:rsid w:val="00E05FD1"/>
    <w:rsid w:val="00E23CA2"/>
    <w:rsid w:val="00E41DCC"/>
    <w:rsid w:val="00EA3EC0"/>
    <w:rsid w:val="00EC0FC4"/>
    <w:rsid w:val="00EE4A08"/>
    <w:rsid w:val="00F034F1"/>
    <w:rsid w:val="00F03A85"/>
    <w:rsid w:val="00F16D03"/>
    <w:rsid w:val="00F56D59"/>
    <w:rsid w:val="00F669B6"/>
    <w:rsid w:val="00FA2C3A"/>
    <w:rsid w:val="00FA3AA4"/>
    <w:rsid w:val="00FA78FE"/>
    <w:rsid w:val="00FD45CE"/>
    <w:rsid w:val="00FE4E90"/>
    <w:rsid w:val="03C3303C"/>
    <w:rsid w:val="0468250E"/>
    <w:rsid w:val="04842CA4"/>
    <w:rsid w:val="0D5663F1"/>
    <w:rsid w:val="10C95C79"/>
    <w:rsid w:val="17411E34"/>
    <w:rsid w:val="1A6F17BF"/>
    <w:rsid w:val="1AA36FC3"/>
    <w:rsid w:val="1AD70716"/>
    <w:rsid w:val="1C205953"/>
    <w:rsid w:val="1F1B5E97"/>
    <w:rsid w:val="23CC074A"/>
    <w:rsid w:val="274A1985"/>
    <w:rsid w:val="27D22B63"/>
    <w:rsid w:val="28971627"/>
    <w:rsid w:val="28D40489"/>
    <w:rsid w:val="29A462E1"/>
    <w:rsid w:val="29D10DA1"/>
    <w:rsid w:val="2AFB6893"/>
    <w:rsid w:val="2BAE46D8"/>
    <w:rsid w:val="2F5721B2"/>
    <w:rsid w:val="31BC0A6A"/>
    <w:rsid w:val="329C2289"/>
    <w:rsid w:val="32BF4ECF"/>
    <w:rsid w:val="34A24B68"/>
    <w:rsid w:val="36D5145B"/>
    <w:rsid w:val="37D474A6"/>
    <w:rsid w:val="385A2C02"/>
    <w:rsid w:val="3D1A7CCD"/>
    <w:rsid w:val="3E285550"/>
    <w:rsid w:val="3F9E326F"/>
    <w:rsid w:val="40AF0B2D"/>
    <w:rsid w:val="42FA5B71"/>
    <w:rsid w:val="4716722E"/>
    <w:rsid w:val="4CB6167B"/>
    <w:rsid w:val="50766910"/>
    <w:rsid w:val="542301E1"/>
    <w:rsid w:val="5A921C7B"/>
    <w:rsid w:val="5C983278"/>
    <w:rsid w:val="5F31408E"/>
    <w:rsid w:val="5FC74076"/>
    <w:rsid w:val="63DC206B"/>
    <w:rsid w:val="64630CF2"/>
    <w:rsid w:val="682F7FFB"/>
    <w:rsid w:val="697C5A9F"/>
    <w:rsid w:val="6A300479"/>
    <w:rsid w:val="6B3063EA"/>
    <w:rsid w:val="6EA25D92"/>
    <w:rsid w:val="6FFA3DC5"/>
    <w:rsid w:val="6FFD27CB"/>
    <w:rsid w:val="717410B3"/>
    <w:rsid w:val="73C12E76"/>
    <w:rsid w:val="75CC7A53"/>
    <w:rsid w:val="7751784F"/>
    <w:rsid w:val="77544C77"/>
    <w:rsid w:val="7A6413DB"/>
    <w:rsid w:val="7B2F1DA8"/>
    <w:rsid w:val="7E9349B9"/>
    <w:rsid w:val="7ED86500"/>
    <w:rsid w:val="7EE7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4320"/>
        <w:tab w:val="left" w:pos="790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ascii="Arial" w:hAnsi="Arial" w:eastAsia="宋体" w:cs="Times New Roman"/>
      <w:sz w:val="16"/>
      <w:szCs w:val="16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abs>
        <w:tab w:val="clear" w:pos="4320"/>
        <w:tab w:val="clear" w:pos="7900"/>
      </w:tabs>
      <w:overflowPunct/>
      <w:adjustRightInd/>
      <w:spacing w:before="0" w:after="0"/>
      <w:textAlignment w:val="auto"/>
    </w:pPr>
    <w:rPr>
      <w:rFonts w:ascii="Times New Roman" w:hAnsi="Times New Roman" w:eastAsia="Times New Roman"/>
      <w:sz w:val="24"/>
      <w:szCs w:val="24"/>
      <w:lang w:val="es-ES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  <w:tab w:val="clear" w:pos="4320"/>
        <w:tab w:val="clear" w:pos="7900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  <w:tab w:val="clear" w:pos="4320"/>
        <w:tab w:val="clear" w:pos="7900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脚 字符"/>
    <w:link w:val="4"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0">
    <w:name w:val="页脚 Char"/>
    <w:basedOn w:val="7"/>
    <w:semiHidden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1">
    <w:name w:val="Fuente de párrafo predeter.1"/>
    <w:qFormat/>
    <w:uiPriority w:val="0"/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3">
    <w:name w:val="页眉 字符"/>
    <w:basedOn w:val="7"/>
    <w:link w:val="5"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4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正文文本 字符"/>
    <w:basedOn w:val="7"/>
    <w:link w:val="2"/>
    <w:qFormat/>
    <w:uiPriority w:val="1"/>
    <w:rPr>
      <w:rFonts w:ascii="Times New Roman" w:hAnsi="Times New Roman" w:eastAsia="Times New Roman" w:cs="Times New Roman"/>
      <w:sz w:val="24"/>
      <w:szCs w:val="24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microsoft.com/office/2007/relationships/hdphoto" Target="media/image2.wdp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258</Words>
  <Characters>1496</Characters>
  <Lines>13</Lines>
  <Paragraphs>3</Paragraphs>
  <TotalTime>0</TotalTime>
  <ScaleCrop>false</ScaleCrop>
  <LinksUpToDate>false</LinksUpToDate>
  <CharactersWithSpaces>1727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2021-01-28T05:52:00Z</dcterms:created>
  <dc:creator>廖 小婷</dc:creator>
  <cp:lastModifiedBy>洲</cp:lastModifiedBy>
  <cp:lastPrinted>2020-07-16T09:27:00Z</cp:lastPrinted>
  <dcterms:modified xsi:type="dcterms:W3CDTF">2026-01-30T08:49:17Z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3D2DF08F6B2941CC99DF500E53E9F546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