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AA92B1">
      <w:pPr>
        <w:spacing w:before="212" w:line="198" w:lineRule="auto"/>
        <w:ind w:left="1990"/>
        <w:outlineLvl w:val="0"/>
        <w:rPr>
          <w:rFonts w:ascii="Arial" w:hAnsi="Arial" w:eastAsia="Arial" w:cs="Arial"/>
          <w:sz w:val="55"/>
          <w:szCs w:val="55"/>
        </w:rPr>
      </w:pPr>
      <w:r>
        <w:rPr>
          <w:rFonts w:ascii="Arial" w:hAnsi="Arial" w:eastAsia="Arial" w:cs="Arial"/>
          <w:b/>
          <w:bCs/>
          <w:spacing w:val="-1"/>
          <w:sz w:val="55"/>
          <w:szCs w:val="55"/>
        </w:rPr>
        <w:t>Business</w:t>
      </w:r>
      <w:r>
        <w:rPr>
          <w:rFonts w:ascii="Arial" w:hAnsi="Arial" w:eastAsia="Arial" w:cs="Arial"/>
          <w:b/>
          <w:bCs/>
          <w:spacing w:val="55"/>
          <w:sz w:val="55"/>
          <w:szCs w:val="55"/>
        </w:rPr>
        <w:t xml:space="preserve"> </w:t>
      </w:r>
      <w:r>
        <w:rPr>
          <w:rFonts w:ascii="Arial" w:hAnsi="Arial" w:eastAsia="Arial" w:cs="Arial"/>
          <w:b/>
          <w:bCs/>
          <w:spacing w:val="-1"/>
          <w:sz w:val="55"/>
          <w:szCs w:val="55"/>
        </w:rPr>
        <w:t>License</w:t>
      </w:r>
    </w:p>
    <w:p w14:paraId="2E7CB7FF">
      <w:pPr>
        <w:spacing w:line="297" w:lineRule="auto"/>
        <w:rPr>
          <w:rFonts w:ascii="Arial"/>
          <w:sz w:val="21"/>
        </w:rPr>
      </w:pPr>
    </w:p>
    <w:p w14:paraId="57492997">
      <w:pPr>
        <w:pStyle w:val="2"/>
        <w:spacing w:before="94" w:line="329" w:lineRule="auto"/>
        <w:ind w:left="8" w:right="2742" w:firstLine="20"/>
        <w:rPr>
          <w:color w:val="000000" w:themeColor="text1"/>
          <w:sz w:val="31"/>
          <w:szCs w:val="31"/>
          <w:highlight w:val="none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b/>
          <w:bCs/>
          <w:color w:val="000000" w:themeColor="text1"/>
          <w:sz w:val="31"/>
          <w:szCs w:val="31"/>
          <w:highlight w:val="none"/>
          <w14:textFill>
            <w14:solidFill>
              <w14:schemeClr w14:val="tx1"/>
            </w14:solidFill>
          </w14:textFill>
        </w:rPr>
        <w:t>Registered</w:t>
      </w:r>
      <w:r>
        <w:rPr>
          <w:b/>
          <w:bCs/>
          <w:color w:val="000000" w:themeColor="text1"/>
          <w:spacing w:val="38"/>
          <w:w w:val="101"/>
          <w:sz w:val="31"/>
          <w:szCs w:val="31"/>
          <w:highlight w:val="none"/>
          <w14:textFill>
            <w14:solidFill>
              <w14:schemeClr w14:val="tx1"/>
            </w14:solidFill>
          </w14:textFill>
        </w:rPr>
        <w:t xml:space="preserve"> </w:t>
      </w:r>
      <w:r>
        <w:rPr>
          <w:b/>
          <w:bCs/>
          <w:color w:val="000000" w:themeColor="text1"/>
          <w:sz w:val="31"/>
          <w:szCs w:val="31"/>
          <w:highlight w:val="none"/>
          <w14:textFill>
            <w14:solidFill>
              <w14:schemeClr w14:val="tx1"/>
            </w14:solidFill>
          </w14:textFill>
        </w:rPr>
        <w:t>Number</w:t>
      </w:r>
      <w:r>
        <w:rPr>
          <w:b/>
          <w:bCs/>
          <w:color w:val="000000" w:themeColor="text1"/>
          <w:spacing w:val="7"/>
          <w:sz w:val="31"/>
          <w:szCs w:val="31"/>
          <w:highlight w:val="none"/>
          <w14:textFill>
            <w14:solidFill>
              <w14:schemeClr w14:val="tx1"/>
            </w14:solidFill>
          </w14:textFill>
        </w:rPr>
        <w:t xml:space="preserve">: </w:t>
      </w:r>
      <w:r>
        <w:rPr>
          <w:rFonts w:hint="eastAsia" w:eastAsia="宋体"/>
          <w:b w:val="0"/>
          <w:bCs w:val="0"/>
          <w:color w:val="000000" w:themeColor="text1"/>
          <w:spacing w:val="7"/>
          <w:sz w:val="31"/>
          <w:szCs w:val="31"/>
          <w:highlight w:val="none"/>
          <w:lang w:val="en-US" w:eastAsia="zh-CN"/>
          <w14:textFill>
            <w14:solidFill>
              <w14:schemeClr w14:val="tx1"/>
            </w14:solidFill>
          </w14:textFill>
        </w:rPr>
        <w:t>91371600MACL71TY14</w:t>
      </w:r>
      <w:r>
        <w:rPr>
          <w:b w:val="0"/>
          <w:bCs w:val="0"/>
          <w:color w:val="000000" w:themeColor="text1"/>
          <w:sz w:val="31"/>
          <w:szCs w:val="31"/>
          <w:highlight w:val="none"/>
          <w14:textFill>
            <w14:solidFill>
              <w14:schemeClr w14:val="tx1"/>
            </w14:solidFill>
          </w14:textFill>
        </w:rPr>
        <w:t xml:space="preserve"> </w:t>
      </w:r>
    </w:p>
    <w:p w14:paraId="063E5E22">
      <w:pPr>
        <w:pStyle w:val="2"/>
        <w:spacing w:before="94" w:line="329" w:lineRule="auto"/>
        <w:ind w:left="8" w:right="2742" w:firstLine="20"/>
        <w:rPr>
          <w:color w:val="000000" w:themeColor="text1"/>
          <w:sz w:val="31"/>
          <w:szCs w:val="31"/>
          <w:highlight w:val="none"/>
          <w14:textFill>
            <w14:solidFill>
              <w14:schemeClr w14:val="tx1"/>
            </w14:solidFill>
          </w14:textFill>
        </w:rPr>
      </w:pPr>
      <w:r>
        <w:rPr>
          <w:b/>
          <w:bCs/>
          <w:color w:val="000000" w:themeColor="text1"/>
          <w:spacing w:val="1"/>
          <w:sz w:val="31"/>
          <w:szCs w:val="31"/>
          <w:highlight w:val="none"/>
          <w14:textFill>
            <w14:solidFill>
              <w14:schemeClr w14:val="tx1"/>
            </w14:solidFill>
          </w14:textFill>
        </w:rPr>
        <w:t>The</w:t>
      </w:r>
      <w:r>
        <w:rPr>
          <w:b/>
          <w:bCs/>
          <w:color w:val="000000" w:themeColor="text1"/>
          <w:spacing w:val="40"/>
          <w:sz w:val="31"/>
          <w:szCs w:val="31"/>
          <w:highlight w:val="none"/>
          <w14:textFill>
            <w14:solidFill>
              <w14:schemeClr w14:val="tx1"/>
            </w14:solidFill>
          </w14:textFill>
        </w:rPr>
        <w:t xml:space="preserve"> </w:t>
      </w:r>
      <w:r>
        <w:rPr>
          <w:b/>
          <w:bCs/>
          <w:color w:val="000000" w:themeColor="text1"/>
          <w:spacing w:val="1"/>
          <w:sz w:val="31"/>
          <w:szCs w:val="31"/>
          <w:highlight w:val="none"/>
          <w14:textFill>
            <w14:solidFill>
              <w14:schemeClr w14:val="tx1"/>
            </w14:solidFill>
          </w14:textFill>
        </w:rPr>
        <w:t>Enterprise</w:t>
      </w:r>
      <w:r>
        <w:rPr>
          <w:b/>
          <w:bCs/>
          <w:color w:val="000000" w:themeColor="text1"/>
          <w:spacing w:val="27"/>
          <w:sz w:val="31"/>
          <w:szCs w:val="31"/>
          <w:highlight w:val="none"/>
          <w14:textFill>
            <w14:solidFill>
              <w14:schemeClr w14:val="tx1"/>
            </w14:solidFill>
          </w14:textFill>
        </w:rPr>
        <w:t xml:space="preserve"> </w:t>
      </w:r>
      <w:r>
        <w:rPr>
          <w:b/>
          <w:bCs/>
          <w:color w:val="000000" w:themeColor="text1"/>
          <w:spacing w:val="1"/>
          <w:sz w:val="31"/>
          <w:szCs w:val="31"/>
          <w:highlight w:val="none"/>
          <w14:textFill>
            <w14:solidFill>
              <w14:schemeClr w14:val="tx1"/>
            </w14:solidFill>
          </w14:textFill>
        </w:rPr>
        <w:t>Name:</w:t>
      </w:r>
    </w:p>
    <w:p w14:paraId="3880E158">
      <w:pPr>
        <w:pStyle w:val="2"/>
        <w:spacing w:line="191" w:lineRule="auto"/>
        <w:rPr>
          <w:rFonts w:hint="eastAsia" w:eastAsia="宋体"/>
          <w:color w:val="000000" w:themeColor="text1"/>
          <w:sz w:val="31"/>
          <w:szCs w:val="31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eastAsia="宋体"/>
          <w:color w:val="000000" w:themeColor="text1"/>
          <w:spacing w:val="4"/>
          <w:sz w:val="31"/>
          <w:szCs w:val="31"/>
          <w:highlight w:val="none"/>
          <w:lang w:val="en-US" w:eastAsia="zh-CN"/>
          <w14:textFill>
            <w14:solidFill>
              <w14:schemeClr w14:val="tx1"/>
            </w14:solidFill>
          </w14:textFill>
        </w:rPr>
        <w:t>Shenzhen Norest E-Commerce Co., Ltd</w:t>
      </w:r>
    </w:p>
    <w:p w14:paraId="6DA1FE07">
      <w:pPr>
        <w:pStyle w:val="2"/>
        <w:spacing w:before="199" w:line="337" w:lineRule="auto"/>
        <w:ind w:left="9" w:right="5599" w:firstLine="18"/>
        <w:rPr>
          <w:color w:val="000000" w:themeColor="text1"/>
          <w:sz w:val="31"/>
          <w:szCs w:val="31"/>
          <w:highlight w:val="none"/>
          <w14:textFill>
            <w14:solidFill>
              <w14:schemeClr w14:val="tx1"/>
            </w14:solidFill>
          </w14:textFill>
        </w:rPr>
      </w:pPr>
      <w:r>
        <w:rPr>
          <w:b/>
          <w:bCs/>
          <w:color w:val="000000" w:themeColor="text1"/>
          <w:sz w:val="31"/>
          <w:szCs w:val="31"/>
          <w:highlight w:val="none"/>
          <w14:textFill>
            <w14:solidFill>
              <w14:schemeClr w14:val="tx1"/>
            </w14:solidFill>
          </w14:textFill>
        </w:rPr>
        <w:t>Business</w:t>
      </w:r>
      <w:r>
        <w:rPr>
          <w:b/>
          <w:bCs/>
          <w:color w:val="000000" w:themeColor="text1"/>
          <w:spacing w:val="19"/>
          <w:sz w:val="31"/>
          <w:szCs w:val="31"/>
          <w:highlight w:val="none"/>
          <w14:textFill>
            <w14:solidFill>
              <w14:schemeClr w14:val="tx1"/>
            </w14:solidFill>
          </w14:textFill>
        </w:rPr>
        <w:t xml:space="preserve"> </w:t>
      </w:r>
      <w:r>
        <w:rPr>
          <w:b/>
          <w:bCs/>
          <w:color w:val="000000" w:themeColor="text1"/>
          <w:sz w:val="31"/>
          <w:szCs w:val="31"/>
          <w:highlight w:val="none"/>
          <w14:textFill>
            <w14:solidFill>
              <w14:schemeClr w14:val="tx1"/>
            </w14:solidFill>
          </w14:textFill>
        </w:rPr>
        <w:t>Type</w:t>
      </w:r>
      <w:r>
        <w:rPr>
          <w:b/>
          <w:bCs/>
          <w:color w:val="000000" w:themeColor="text1"/>
          <w:spacing w:val="19"/>
          <w:sz w:val="31"/>
          <w:szCs w:val="31"/>
          <w:highlight w:val="none"/>
          <w14:textFill>
            <w14:solidFill>
              <w14:schemeClr w14:val="tx1"/>
            </w14:solidFill>
          </w14:textFill>
        </w:rPr>
        <w:t>:</w:t>
      </w:r>
      <w:r>
        <w:rPr>
          <w:b/>
          <w:bCs/>
          <w:color w:val="000000" w:themeColor="text1"/>
          <w:spacing w:val="32"/>
          <w:sz w:val="31"/>
          <w:szCs w:val="31"/>
          <w:highlight w:val="none"/>
          <w14:textFill>
            <w14:solidFill>
              <w14:schemeClr w14:val="tx1"/>
            </w14:solidFill>
          </w14:textFill>
        </w:rPr>
        <w:t xml:space="preserve"> </w:t>
      </w:r>
      <w:r>
        <w:rPr>
          <w:color w:val="000000" w:themeColor="text1"/>
          <w:sz w:val="31"/>
          <w:szCs w:val="31"/>
          <w:highlight w:val="none"/>
          <w14:textFill>
            <w14:solidFill>
              <w14:schemeClr w14:val="tx1"/>
            </w14:solidFill>
          </w14:textFill>
        </w:rPr>
        <w:t xml:space="preserve">Limited </w:t>
      </w:r>
      <w:r>
        <w:rPr>
          <w:b/>
          <w:bCs/>
          <w:color w:val="000000" w:themeColor="text1"/>
          <w:spacing w:val="3"/>
          <w:sz w:val="31"/>
          <w:szCs w:val="31"/>
          <w:highlight w:val="none"/>
          <w14:textFill>
            <w14:solidFill>
              <w14:schemeClr w14:val="tx1"/>
            </w14:solidFill>
          </w14:textFill>
        </w:rPr>
        <w:t>Address:</w:t>
      </w:r>
    </w:p>
    <w:p w14:paraId="41536F0A">
      <w:pPr>
        <w:pStyle w:val="2"/>
        <w:spacing w:before="17" w:line="191" w:lineRule="auto"/>
        <w:rPr>
          <w:rFonts w:hint="eastAsia" w:eastAsia="宋体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eastAsia="宋体"/>
          <w:color w:val="000000" w:themeColor="text1"/>
          <w:sz w:val="31"/>
          <w:szCs w:val="31"/>
          <w:highlight w:val="none"/>
          <w:lang w:val="en-US" w:eastAsia="zh-CN"/>
          <w14:textFill>
            <w14:solidFill>
              <w14:schemeClr w14:val="tx1"/>
            </w14:solidFill>
          </w14:textFill>
        </w:rPr>
        <w:t>Unit 2, Apartment 509, Building 1, Pengyuan, No. 18 Lilang Road, Shanglilang Community, Nanwan Street, Longgang District, Shenzhen, China</w:t>
      </w:r>
    </w:p>
    <w:p w14:paraId="6B0C136E">
      <w:pPr>
        <w:pStyle w:val="2"/>
        <w:spacing w:before="287" w:line="193" w:lineRule="auto"/>
        <w:ind w:left="46"/>
        <w:rPr>
          <w:rFonts w:hint="eastAsia" w:eastAsia="宋体"/>
          <w:color w:val="000000" w:themeColor="text1"/>
          <w:sz w:val="31"/>
          <w:szCs w:val="31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b/>
          <w:bCs/>
          <w:color w:val="000000" w:themeColor="text1"/>
          <w:sz w:val="31"/>
          <w:szCs w:val="31"/>
          <w:highlight w:val="none"/>
          <w14:textFill>
            <w14:solidFill>
              <w14:schemeClr w14:val="tx1"/>
            </w14:solidFill>
          </w14:textFill>
        </w:rPr>
        <w:t>Person</w:t>
      </w:r>
      <w:r>
        <w:rPr>
          <w:b/>
          <w:bCs/>
          <w:color w:val="000000" w:themeColor="text1"/>
          <w:spacing w:val="21"/>
          <w:sz w:val="31"/>
          <w:szCs w:val="31"/>
          <w:highlight w:val="none"/>
          <w14:textFill>
            <w14:solidFill>
              <w14:schemeClr w14:val="tx1"/>
            </w14:solidFill>
          </w14:textFill>
        </w:rPr>
        <w:t xml:space="preserve"> </w:t>
      </w:r>
      <w:r>
        <w:rPr>
          <w:b/>
          <w:bCs/>
          <w:color w:val="000000" w:themeColor="text1"/>
          <w:sz w:val="31"/>
          <w:szCs w:val="31"/>
          <w:highlight w:val="none"/>
          <w14:textFill>
            <w14:solidFill>
              <w14:schemeClr w14:val="tx1"/>
            </w14:solidFill>
          </w14:textFill>
        </w:rPr>
        <w:t>in</w:t>
      </w:r>
      <w:r>
        <w:rPr>
          <w:b/>
          <w:bCs/>
          <w:color w:val="000000" w:themeColor="text1"/>
          <w:spacing w:val="8"/>
          <w:sz w:val="31"/>
          <w:szCs w:val="31"/>
          <w:highlight w:val="none"/>
          <w14:textFill>
            <w14:solidFill>
              <w14:schemeClr w14:val="tx1"/>
            </w14:solidFill>
          </w14:textFill>
        </w:rPr>
        <w:t xml:space="preserve"> </w:t>
      </w:r>
      <w:r>
        <w:rPr>
          <w:b/>
          <w:bCs/>
          <w:color w:val="000000" w:themeColor="text1"/>
          <w:sz w:val="31"/>
          <w:szCs w:val="31"/>
          <w:highlight w:val="none"/>
          <w14:textFill>
            <w14:solidFill>
              <w14:schemeClr w14:val="tx1"/>
            </w14:solidFill>
          </w14:textFill>
        </w:rPr>
        <w:t>Charge</w:t>
      </w:r>
      <w:r>
        <w:rPr>
          <w:b/>
          <w:bCs/>
          <w:color w:val="000000" w:themeColor="text1"/>
          <w:spacing w:val="8"/>
          <w:sz w:val="31"/>
          <w:szCs w:val="31"/>
          <w:highlight w:val="none"/>
          <w14:textFill>
            <w14:solidFill>
              <w14:schemeClr w14:val="tx1"/>
            </w14:solidFill>
          </w14:textFill>
        </w:rPr>
        <w:t>:</w:t>
      </w:r>
      <w:r>
        <w:rPr>
          <w:b/>
          <w:bCs/>
          <w:color w:val="000000" w:themeColor="text1"/>
          <w:spacing w:val="26"/>
          <w:w w:val="101"/>
          <w:sz w:val="31"/>
          <w:szCs w:val="31"/>
          <w:highlight w:val="non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eastAsia="宋体"/>
          <w:color w:val="000000" w:themeColor="text1"/>
          <w:sz w:val="31"/>
          <w:szCs w:val="31"/>
          <w:highlight w:val="none"/>
          <w:lang w:val="en-US" w:eastAsia="zh-CN"/>
          <w14:textFill>
            <w14:solidFill>
              <w14:schemeClr w14:val="tx1"/>
            </w14:solidFill>
          </w14:textFill>
        </w:rPr>
        <w:t>QINGLIANG ZENG</w:t>
      </w:r>
    </w:p>
    <w:p w14:paraId="2BA72468">
      <w:pPr>
        <w:pStyle w:val="2"/>
        <w:spacing w:before="275" w:line="194" w:lineRule="auto"/>
        <w:ind w:left="28"/>
        <w:rPr>
          <w:rFonts w:hint="eastAsia" w:eastAsia="宋体"/>
          <w:color w:val="000000" w:themeColor="text1"/>
          <w:sz w:val="31"/>
          <w:szCs w:val="31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b/>
          <w:bCs/>
          <w:color w:val="000000" w:themeColor="text1"/>
          <w:sz w:val="31"/>
          <w:szCs w:val="31"/>
          <w:highlight w:val="none"/>
          <w14:textFill>
            <w14:solidFill>
              <w14:schemeClr w14:val="tx1"/>
            </w14:solidFill>
          </w14:textFill>
        </w:rPr>
        <w:t>Date</w:t>
      </w:r>
      <w:r>
        <w:rPr>
          <w:b/>
          <w:bCs/>
          <w:color w:val="000000" w:themeColor="text1"/>
          <w:spacing w:val="4"/>
          <w:sz w:val="31"/>
          <w:szCs w:val="31"/>
          <w:highlight w:val="none"/>
          <w14:textFill>
            <w14:solidFill>
              <w14:schemeClr w14:val="tx1"/>
            </w14:solidFill>
          </w14:textFill>
        </w:rPr>
        <w:t xml:space="preserve"> </w:t>
      </w:r>
      <w:r>
        <w:rPr>
          <w:b/>
          <w:bCs/>
          <w:color w:val="000000" w:themeColor="text1"/>
          <w:sz w:val="31"/>
          <w:szCs w:val="31"/>
          <w:highlight w:val="none"/>
          <w14:textFill>
            <w14:solidFill>
              <w14:schemeClr w14:val="tx1"/>
            </w14:solidFill>
          </w14:textFill>
        </w:rPr>
        <w:t>of</w:t>
      </w:r>
      <w:r>
        <w:rPr>
          <w:b/>
          <w:bCs/>
          <w:color w:val="000000" w:themeColor="text1"/>
          <w:spacing w:val="4"/>
          <w:sz w:val="31"/>
          <w:szCs w:val="31"/>
          <w:highlight w:val="none"/>
          <w14:textFill>
            <w14:solidFill>
              <w14:schemeClr w14:val="tx1"/>
            </w14:solidFill>
          </w14:textFill>
        </w:rPr>
        <w:t xml:space="preserve"> </w:t>
      </w:r>
      <w:r>
        <w:rPr>
          <w:b/>
          <w:bCs/>
          <w:color w:val="000000" w:themeColor="text1"/>
          <w:sz w:val="31"/>
          <w:szCs w:val="31"/>
          <w:highlight w:val="none"/>
          <w14:textFill>
            <w14:solidFill>
              <w14:schemeClr w14:val="tx1"/>
            </w14:solidFill>
          </w14:textFill>
        </w:rPr>
        <w:t>Set</w:t>
      </w:r>
      <w:r>
        <w:rPr>
          <w:b/>
          <w:bCs/>
          <w:color w:val="000000" w:themeColor="text1"/>
          <w:spacing w:val="4"/>
          <w:sz w:val="31"/>
          <w:szCs w:val="31"/>
          <w:highlight w:val="none"/>
          <w14:textFill>
            <w14:solidFill>
              <w14:schemeClr w14:val="tx1"/>
            </w14:solidFill>
          </w14:textFill>
        </w:rPr>
        <w:t>-</w:t>
      </w:r>
      <w:r>
        <w:rPr>
          <w:b/>
          <w:bCs/>
          <w:color w:val="000000" w:themeColor="text1"/>
          <w:sz w:val="31"/>
          <w:szCs w:val="31"/>
          <w:highlight w:val="none"/>
          <w14:textFill>
            <w14:solidFill>
              <w14:schemeClr w14:val="tx1"/>
            </w14:solidFill>
          </w14:textFill>
        </w:rPr>
        <w:t>up</w:t>
      </w:r>
      <w:r>
        <w:rPr>
          <w:b/>
          <w:bCs/>
          <w:color w:val="000000" w:themeColor="text1"/>
          <w:spacing w:val="4"/>
          <w:sz w:val="31"/>
          <w:szCs w:val="31"/>
          <w:highlight w:val="none"/>
          <w14:textFill>
            <w14:solidFill>
              <w14:schemeClr w14:val="tx1"/>
            </w14:solidFill>
          </w14:textFill>
        </w:rPr>
        <w:t>:</w:t>
      </w:r>
      <w:r>
        <w:rPr>
          <w:b/>
          <w:bCs/>
          <w:color w:val="000000" w:themeColor="text1"/>
          <w:spacing w:val="25"/>
          <w:sz w:val="31"/>
          <w:szCs w:val="31"/>
          <w:highlight w:val="non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eastAsia="宋体"/>
          <w:b w:val="0"/>
          <w:bCs w:val="0"/>
          <w:color w:val="000000" w:themeColor="text1"/>
          <w:sz w:val="31"/>
          <w:szCs w:val="31"/>
          <w:highlight w:val="none"/>
          <w:lang w:val="en-US" w:eastAsia="zh-CN"/>
          <w14:textFill>
            <w14:solidFill>
              <w14:schemeClr w14:val="tx1"/>
            </w14:solidFill>
          </w14:textFill>
        </w:rPr>
        <w:t>16.06.2023</w:t>
      </w:r>
    </w:p>
    <w:p w14:paraId="370D90C8">
      <w:pPr>
        <w:spacing w:line="253" w:lineRule="auto"/>
        <w:rPr>
          <w:rFonts w:ascii="Arial"/>
          <w:sz w:val="21"/>
        </w:rPr>
      </w:pPr>
    </w:p>
    <w:p w14:paraId="32EAFB16">
      <w:pPr>
        <w:spacing w:line="254" w:lineRule="auto"/>
        <w:rPr>
          <w:rFonts w:ascii="Arial"/>
          <w:sz w:val="21"/>
        </w:rPr>
      </w:pPr>
    </w:p>
    <w:p w14:paraId="6BEBED12">
      <w:pPr>
        <w:spacing w:line="254" w:lineRule="auto"/>
        <w:rPr>
          <w:rFonts w:ascii="Arial"/>
          <w:sz w:val="21"/>
        </w:rPr>
      </w:pPr>
    </w:p>
    <w:p w14:paraId="5AE20FAE">
      <w:pPr>
        <w:spacing w:line="254" w:lineRule="auto"/>
        <w:rPr>
          <w:rFonts w:ascii="Arial"/>
          <w:sz w:val="21"/>
        </w:rPr>
      </w:pPr>
    </w:p>
    <w:p w14:paraId="310FD58F">
      <w:pPr>
        <w:spacing w:line="254" w:lineRule="auto"/>
        <w:rPr>
          <w:rFonts w:ascii="Arial"/>
          <w:sz w:val="21"/>
        </w:rPr>
      </w:pPr>
    </w:p>
    <w:p w14:paraId="4D9269FA">
      <w:pPr>
        <w:spacing w:line="254" w:lineRule="auto"/>
        <w:rPr>
          <w:rFonts w:ascii="Arial"/>
          <w:sz w:val="21"/>
        </w:rPr>
      </w:pPr>
    </w:p>
    <w:p w14:paraId="195F0F95">
      <w:pPr>
        <w:pStyle w:val="2"/>
        <w:spacing w:before="56" w:line="179" w:lineRule="auto"/>
        <w:ind w:left="8"/>
      </w:pPr>
      <w:r>
        <w:rPr>
          <w:spacing w:val="-4"/>
        </w:rPr>
        <w:t>Notes</w:t>
      </w:r>
    </w:p>
    <w:p w14:paraId="4605FCE1">
      <w:pPr>
        <w:pStyle w:val="2"/>
        <w:spacing w:before="226" w:line="224" w:lineRule="auto"/>
        <w:ind w:left="721" w:right="637" w:hanging="352"/>
      </w:pPr>
      <w:r>
        <w:rPr>
          <w:spacing w:val="-1"/>
        </w:rPr>
        <w:t>1.     The</w:t>
      </w:r>
      <w:r>
        <w:rPr>
          <w:spacing w:val="14"/>
          <w:w w:val="101"/>
        </w:rPr>
        <w:t xml:space="preserve"> </w:t>
      </w:r>
      <w:r>
        <w:rPr>
          <w:spacing w:val="-1"/>
        </w:rPr>
        <w:t>Business</w:t>
      </w:r>
      <w:r>
        <w:rPr>
          <w:spacing w:val="17"/>
        </w:rPr>
        <w:t xml:space="preserve"> </w:t>
      </w:r>
      <w:r>
        <w:rPr>
          <w:spacing w:val="-1"/>
        </w:rPr>
        <w:t>License</w:t>
      </w:r>
      <w:r>
        <w:rPr>
          <w:spacing w:val="13"/>
          <w:w w:val="101"/>
        </w:rPr>
        <w:t xml:space="preserve"> </w:t>
      </w:r>
      <w:r>
        <w:rPr>
          <w:spacing w:val="-1"/>
        </w:rPr>
        <w:t>is the</w:t>
      </w:r>
      <w:r>
        <w:rPr>
          <w:spacing w:val="15"/>
          <w:w w:val="101"/>
        </w:rPr>
        <w:t xml:space="preserve"> </w:t>
      </w:r>
      <w:r>
        <w:rPr>
          <w:spacing w:val="-1"/>
        </w:rPr>
        <w:t>legal</w:t>
      </w:r>
      <w:r>
        <w:rPr>
          <w:spacing w:val="10"/>
        </w:rPr>
        <w:t xml:space="preserve"> </w:t>
      </w:r>
      <w:r>
        <w:rPr>
          <w:spacing w:val="-1"/>
        </w:rPr>
        <w:t>certificate for the</w:t>
      </w:r>
      <w:r>
        <w:rPr>
          <w:spacing w:val="10"/>
        </w:rPr>
        <w:t xml:space="preserve"> </w:t>
      </w:r>
      <w:r>
        <w:rPr>
          <w:spacing w:val="-1"/>
        </w:rPr>
        <w:t>co</w:t>
      </w:r>
      <w:r>
        <w:rPr>
          <w:spacing w:val="-2"/>
        </w:rPr>
        <w:t>rporate</w:t>
      </w:r>
      <w:r>
        <w:rPr>
          <w:spacing w:val="7"/>
        </w:rPr>
        <w:t xml:space="preserve"> </w:t>
      </w:r>
      <w:r>
        <w:rPr>
          <w:spacing w:val="-2"/>
        </w:rPr>
        <w:t>capacity</w:t>
      </w:r>
      <w:r>
        <w:rPr>
          <w:spacing w:val="8"/>
        </w:rPr>
        <w:t xml:space="preserve"> </w:t>
      </w:r>
      <w:r>
        <w:rPr>
          <w:spacing w:val="-2"/>
        </w:rPr>
        <w:t>of the</w:t>
      </w:r>
      <w:r>
        <w:rPr>
          <w:spacing w:val="10"/>
          <w:w w:val="101"/>
        </w:rPr>
        <w:t xml:space="preserve"> </w:t>
      </w:r>
      <w:r>
        <w:rPr>
          <w:spacing w:val="-2"/>
        </w:rPr>
        <w:t>enterprise</w:t>
      </w:r>
      <w:r>
        <w:rPr>
          <w:spacing w:val="10"/>
        </w:rPr>
        <w:t xml:space="preserve"> </w:t>
      </w:r>
      <w:r>
        <w:rPr>
          <w:spacing w:val="-2"/>
        </w:rPr>
        <w:t>and</w:t>
      </w:r>
      <w:r>
        <w:rPr>
          <w:spacing w:val="11"/>
        </w:rPr>
        <w:t xml:space="preserve"> </w:t>
      </w:r>
      <w:r>
        <w:rPr>
          <w:spacing w:val="-2"/>
        </w:rPr>
        <w:t>its</w:t>
      </w:r>
      <w:r>
        <w:rPr>
          <w:spacing w:val="15"/>
          <w:w w:val="101"/>
        </w:rPr>
        <w:t xml:space="preserve"> </w:t>
      </w:r>
      <w:r>
        <w:rPr>
          <w:spacing w:val="-2"/>
        </w:rPr>
        <w:t>legal</w:t>
      </w:r>
      <w:r>
        <w:t xml:space="preserve"> </w:t>
      </w:r>
      <w:r>
        <w:rPr>
          <w:spacing w:val="-1"/>
        </w:rPr>
        <w:t>operation.</w:t>
      </w:r>
    </w:p>
    <w:p w14:paraId="4B649352">
      <w:pPr>
        <w:pStyle w:val="2"/>
        <w:spacing w:before="62" w:line="189" w:lineRule="auto"/>
        <w:ind w:left="363"/>
      </w:pPr>
      <w:r>
        <w:rPr>
          <w:spacing w:val="-2"/>
        </w:rPr>
        <w:t>2.     The</w:t>
      </w:r>
      <w:r>
        <w:rPr>
          <w:spacing w:val="17"/>
          <w:w w:val="102"/>
        </w:rPr>
        <w:t xml:space="preserve"> </w:t>
      </w:r>
      <w:r>
        <w:rPr>
          <w:spacing w:val="-2"/>
        </w:rPr>
        <w:t>Business</w:t>
      </w:r>
      <w:r>
        <w:rPr>
          <w:spacing w:val="17"/>
        </w:rPr>
        <w:t xml:space="preserve"> </w:t>
      </w:r>
      <w:r>
        <w:rPr>
          <w:spacing w:val="-2"/>
        </w:rPr>
        <w:t>License</w:t>
      </w:r>
      <w:r>
        <w:rPr>
          <w:spacing w:val="9"/>
        </w:rPr>
        <w:t xml:space="preserve"> </w:t>
      </w:r>
      <w:r>
        <w:rPr>
          <w:spacing w:val="-2"/>
        </w:rPr>
        <w:t>shall</w:t>
      </w:r>
      <w:r>
        <w:rPr>
          <w:spacing w:val="15"/>
          <w:w w:val="101"/>
        </w:rPr>
        <w:t xml:space="preserve"> </w:t>
      </w:r>
      <w:r>
        <w:rPr>
          <w:spacing w:val="-2"/>
        </w:rPr>
        <w:t>be</w:t>
      </w:r>
      <w:r>
        <w:rPr>
          <w:spacing w:val="15"/>
          <w:w w:val="101"/>
        </w:rPr>
        <w:t xml:space="preserve"> </w:t>
      </w:r>
      <w:r>
        <w:rPr>
          <w:spacing w:val="-2"/>
        </w:rPr>
        <w:t>put on</w:t>
      </w:r>
      <w:r>
        <w:rPr>
          <w:spacing w:val="2"/>
        </w:rPr>
        <w:t xml:space="preserve"> </w:t>
      </w:r>
      <w:r>
        <w:rPr>
          <w:spacing w:val="-2"/>
        </w:rPr>
        <w:t>the</w:t>
      </w:r>
      <w:r>
        <w:rPr>
          <w:spacing w:val="15"/>
          <w:w w:val="101"/>
        </w:rPr>
        <w:t xml:space="preserve"> </w:t>
      </w:r>
      <w:r>
        <w:rPr>
          <w:spacing w:val="-2"/>
        </w:rPr>
        <w:t>place</w:t>
      </w:r>
      <w:r>
        <w:rPr>
          <w:spacing w:val="10"/>
        </w:rPr>
        <w:t xml:space="preserve"> </w:t>
      </w:r>
      <w:r>
        <w:rPr>
          <w:spacing w:val="-2"/>
        </w:rPr>
        <w:t>of the</w:t>
      </w:r>
      <w:r>
        <w:rPr>
          <w:spacing w:val="9"/>
        </w:rPr>
        <w:t xml:space="preserve"> </w:t>
      </w:r>
      <w:r>
        <w:rPr>
          <w:spacing w:val="-2"/>
        </w:rPr>
        <w:t>office</w:t>
      </w:r>
      <w:r>
        <w:rPr>
          <w:spacing w:val="2"/>
        </w:rPr>
        <w:t xml:space="preserve"> </w:t>
      </w:r>
      <w:r>
        <w:rPr>
          <w:spacing w:val="-2"/>
        </w:rPr>
        <w:t>where</w:t>
      </w:r>
      <w:r>
        <w:rPr>
          <w:spacing w:val="14"/>
        </w:rPr>
        <w:t xml:space="preserve"> </w:t>
      </w:r>
      <w:r>
        <w:rPr>
          <w:spacing w:val="-2"/>
        </w:rPr>
        <w:t>it</w:t>
      </w:r>
      <w:r>
        <w:rPr>
          <w:spacing w:val="8"/>
        </w:rPr>
        <w:t xml:space="preserve"> </w:t>
      </w:r>
      <w:r>
        <w:rPr>
          <w:spacing w:val="-2"/>
        </w:rPr>
        <w:t>can</w:t>
      </w:r>
      <w:r>
        <w:rPr>
          <w:spacing w:val="15"/>
        </w:rPr>
        <w:t xml:space="preserve"> </w:t>
      </w:r>
      <w:r>
        <w:rPr>
          <w:spacing w:val="-2"/>
        </w:rPr>
        <w:t>be</w:t>
      </w:r>
      <w:r>
        <w:rPr>
          <w:spacing w:val="6"/>
        </w:rPr>
        <w:t xml:space="preserve"> </w:t>
      </w:r>
      <w:r>
        <w:rPr>
          <w:spacing w:val="-2"/>
        </w:rPr>
        <w:t>seen.</w:t>
      </w:r>
    </w:p>
    <w:p w14:paraId="41238C4A">
      <w:pPr>
        <w:pStyle w:val="2"/>
        <w:spacing w:before="65" w:line="189" w:lineRule="auto"/>
        <w:ind w:left="362"/>
      </w:pPr>
      <w:r>
        <w:rPr>
          <w:spacing w:val="-1"/>
        </w:rPr>
        <w:t>3.     The</w:t>
      </w:r>
      <w:r>
        <w:rPr>
          <w:spacing w:val="15"/>
        </w:rPr>
        <w:t xml:space="preserve"> </w:t>
      </w:r>
      <w:r>
        <w:rPr>
          <w:spacing w:val="-1"/>
        </w:rPr>
        <w:t>Business</w:t>
      </w:r>
      <w:r>
        <w:rPr>
          <w:spacing w:val="17"/>
        </w:rPr>
        <w:t xml:space="preserve"> </w:t>
      </w:r>
      <w:r>
        <w:rPr>
          <w:spacing w:val="-1"/>
        </w:rPr>
        <w:t>License</w:t>
      </w:r>
      <w:r>
        <w:rPr>
          <w:spacing w:val="13"/>
          <w:w w:val="101"/>
        </w:rPr>
        <w:t xml:space="preserve"> </w:t>
      </w:r>
      <w:r>
        <w:rPr>
          <w:spacing w:val="-1"/>
        </w:rPr>
        <w:t>is</w:t>
      </w:r>
      <w:r>
        <w:rPr>
          <w:spacing w:val="13"/>
        </w:rPr>
        <w:t xml:space="preserve"> </w:t>
      </w:r>
      <w:r>
        <w:rPr>
          <w:spacing w:val="-1"/>
        </w:rPr>
        <w:t>not</w:t>
      </w:r>
      <w:r>
        <w:rPr>
          <w:spacing w:val="10"/>
          <w:w w:val="101"/>
        </w:rPr>
        <w:t xml:space="preserve"> </w:t>
      </w:r>
      <w:r>
        <w:rPr>
          <w:spacing w:val="-1"/>
        </w:rPr>
        <w:t>allowed to</w:t>
      </w:r>
      <w:r>
        <w:rPr>
          <w:spacing w:val="12"/>
          <w:w w:val="101"/>
        </w:rPr>
        <w:t xml:space="preserve"> </w:t>
      </w:r>
      <w:r>
        <w:rPr>
          <w:spacing w:val="-1"/>
        </w:rPr>
        <w:t xml:space="preserve">be </w:t>
      </w:r>
      <w:r>
        <w:rPr>
          <w:spacing w:val="-2"/>
        </w:rPr>
        <w:t>forged,</w:t>
      </w:r>
      <w:r>
        <w:rPr>
          <w:spacing w:val="9"/>
        </w:rPr>
        <w:t xml:space="preserve"> </w:t>
      </w:r>
      <w:r>
        <w:rPr>
          <w:spacing w:val="-2"/>
        </w:rPr>
        <w:t>altered,</w:t>
      </w:r>
      <w:r>
        <w:rPr>
          <w:spacing w:val="14"/>
          <w:w w:val="101"/>
        </w:rPr>
        <w:t xml:space="preserve"> </w:t>
      </w:r>
      <w:r>
        <w:rPr>
          <w:spacing w:val="-2"/>
        </w:rPr>
        <w:t>rent,</w:t>
      </w:r>
      <w:r>
        <w:rPr>
          <w:spacing w:val="17"/>
        </w:rPr>
        <w:t xml:space="preserve"> </w:t>
      </w:r>
      <w:r>
        <w:rPr>
          <w:spacing w:val="-2"/>
        </w:rPr>
        <w:t>leased</w:t>
      </w:r>
      <w:r>
        <w:rPr>
          <w:spacing w:val="11"/>
          <w:w w:val="102"/>
        </w:rPr>
        <w:t xml:space="preserve"> </w:t>
      </w:r>
      <w:r>
        <w:rPr>
          <w:spacing w:val="-2"/>
        </w:rPr>
        <w:t>or transferred.</w:t>
      </w:r>
    </w:p>
    <w:p w14:paraId="351584B9">
      <w:pPr>
        <w:pStyle w:val="2"/>
        <w:spacing w:before="65" w:line="224" w:lineRule="auto"/>
        <w:ind w:left="727" w:right="260" w:hanging="370"/>
      </w:pPr>
      <w:r>
        <w:rPr>
          <w:spacing w:val="-1"/>
        </w:rPr>
        <w:t>4.     Any</w:t>
      </w:r>
      <w:r>
        <w:rPr>
          <w:spacing w:val="14"/>
          <w:w w:val="101"/>
        </w:rPr>
        <w:t xml:space="preserve"> </w:t>
      </w:r>
      <w:r>
        <w:rPr>
          <w:spacing w:val="-1"/>
        </w:rPr>
        <w:t>registration</w:t>
      </w:r>
      <w:r>
        <w:rPr>
          <w:spacing w:val="13"/>
          <w:w w:val="101"/>
        </w:rPr>
        <w:t xml:space="preserve"> </w:t>
      </w:r>
      <w:r>
        <w:rPr>
          <w:spacing w:val="-1"/>
        </w:rPr>
        <w:t>item</w:t>
      </w:r>
      <w:r>
        <w:rPr>
          <w:spacing w:val="10"/>
          <w:w w:val="102"/>
        </w:rPr>
        <w:t xml:space="preserve"> </w:t>
      </w:r>
      <w:r>
        <w:rPr>
          <w:spacing w:val="-1"/>
        </w:rPr>
        <w:t>changed,</w:t>
      </w:r>
      <w:r>
        <w:rPr>
          <w:spacing w:val="12"/>
          <w:w w:val="101"/>
        </w:rPr>
        <w:t xml:space="preserve"> </w:t>
      </w:r>
      <w:r>
        <w:rPr>
          <w:spacing w:val="-1"/>
        </w:rPr>
        <w:t>it shall</w:t>
      </w:r>
      <w:r>
        <w:rPr>
          <w:spacing w:val="10"/>
          <w:w w:val="101"/>
        </w:rPr>
        <w:t xml:space="preserve"> </w:t>
      </w:r>
      <w:r>
        <w:rPr>
          <w:spacing w:val="-1"/>
        </w:rPr>
        <w:t>apply</w:t>
      </w:r>
      <w:r>
        <w:rPr>
          <w:spacing w:val="7"/>
        </w:rPr>
        <w:t xml:space="preserve"> </w:t>
      </w:r>
      <w:r>
        <w:rPr>
          <w:spacing w:val="-1"/>
        </w:rPr>
        <w:t xml:space="preserve">with </w:t>
      </w:r>
      <w:r>
        <w:rPr>
          <w:spacing w:val="-2"/>
        </w:rPr>
        <w:t>the</w:t>
      </w:r>
      <w:r>
        <w:rPr>
          <w:spacing w:val="10"/>
        </w:rPr>
        <w:t xml:space="preserve"> </w:t>
      </w:r>
      <w:r>
        <w:rPr>
          <w:spacing w:val="-2"/>
        </w:rPr>
        <w:t>original</w:t>
      </w:r>
      <w:r>
        <w:rPr>
          <w:spacing w:val="10"/>
          <w:w w:val="101"/>
        </w:rPr>
        <w:t xml:space="preserve"> </w:t>
      </w:r>
      <w:r>
        <w:rPr>
          <w:spacing w:val="-2"/>
        </w:rPr>
        <w:t>authority</w:t>
      </w:r>
      <w:r>
        <w:rPr>
          <w:spacing w:val="5"/>
        </w:rPr>
        <w:t xml:space="preserve"> </w:t>
      </w:r>
      <w:r>
        <w:rPr>
          <w:spacing w:val="-2"/>
        </w:rPr>
        <w:t>to</w:t>
      </w:r>
      <w:r>
        <w:rPr>
          <w:spacing w:val="10"/>
        </w:rPr>
        <w:t xml:space="preserve"> </w:t>
      </w:r>
      <w:r>
        <w:rPr>
          <w:spacing w:val="-2"/>
        </w:rPr>
        <w:t>do</w:t>
      </w:r>
      <w:r>
        <w:rPr>
          <w:spacing w:val="2"/>
        </w:rPr>
        <w:t xml:space="preserve"> </w:t>
      </w:r>
      <w:r>
        <w:rPr>
          <w:spacing w:val="-2"/>
        </w:rPr>
        <w:t>the</w:t>
      </w:r>
      <w:r>
        <w:rPr>
          <w:spacing w:val="9"/>
        </w:rPr>
        <w:t xml:space="preserve"> </w:t>
      </w:r>
      <w:r>
        <w:rPr>
          <w:spacing w:val="-2"/>
        </w:rPr>
        <w:t>changes,</w:t>
      </w:r>
      <w:r>
        <w:rPr>
          <w:spacing w:val="9"/>
        </w:rPr>
        <w:t xml:space="preserve"> </w:t>
      </w:r>
      <w:r>
        <w:rPr>
          <w:spacing w:val="-2"/>
        </w:rPr>
        <w:t>and</w:t>
      </w:r>
      <w:r>
        <w:rPr>
          <w:spacing w:val="7"/>
        </w:rPr>
        <w:t xml:space="preserve"> </w:t>
      </w:r>
      <w:r>
        <w:rPr>
          <w:spacing w:val="-2"/>
        </w:rPr>
        <w:t>get</w:t>
      </w:r>
      <w:r>
        <w:rPr>
          <w:spacing w:val="10"/>
          <w:w w:val="101"/>
        </w:rPr>
        <w:t xml:space="preserve"> </w:t>
      </w:r>
      <w:r>
        <w:rPr>
          <w:spacing w:val="-2"/>
        </w:rPr>
        <w:t>a</w:t>
      </w:r>
      <w:r>
        <w:rPr>
          <w:spacing w:val="11"/>
          <w:w w:val="101"/>
        </w:rPr>
        <w:t xml:space="preserve"> </w:t>
      </w:r>
      <w:r>
        <w:rPr>
          <w:spacing w:val="-2"/>
        </w:rPr>
        <w:t>new</w:t>
      </w:r>
      <w:r>
        <w:t xml:space="preserve"> </w:t>
      </w:r>
      <w:r>
        <w:rPr>
          <w:spacing w:val="-3"/>
        </w:rPr>
        <w:t>Business</w:t>
      </w:r>
      <w:r>
        <w:rPr>
          <w:spacing w:val="30"/>
        </w:rPr>
        <w:t xml:space="preserve"> </w:t>
      </w:r>
      <w:r>
        <w:rPr>
          <w:spacing w:val="-3"/>
        </w:rPr>
        <w:t>License.</w:t>
      </w:r>
    </w:p>
    <w:p w14:paraId="11C2F43A">
      <w:pPr>
        <w:pStyle w:val="2"/>
        <w:spacing w:before="65" w:line="188" w:lineRule="auto"/>
        <w:ind w:left="362"/>
      </w:pPr>
      <w:r>
        <w:rPr>
          <w:spacing w:val="-1"/>
        </w:rPr>
        <w:t>5.     The company</w:t>
      </w:r>
      <w:r>
        <w:rPr>
          <w:spacing w:val="8"/>
        </w:rPr>
        <w:t xml:space="preserve"> </w:t>
      </w:r>
      <w:r>
        <w:rPr>
          <w:spacing w:val="-1"/>
        </w:rPr>
        <w:t>shall</w:t>
      </w:r>
      <w:r>
        <w:rPr>
          <w:spacing w:val="10"/>
          <w:w w:val="101"/>
        </w:rPr>
        <w:t xml:space="preserve"> </w:t>
      </w:r>
      <w:r>
        <w:rPr>
          <w:spacing w:val="-1"/>
        </w:rPr>
        <w:t>attend the</w:t>
      </w:r>
      <w:r>
        <w:rPr>
          <w:spacing w:val="10"/>
        </w:rPr>
        <w:t xml:space="preserve"> </w:t>
      </w:r>
      <w:r>
        <w:rPr>
          <w:spacing w:val="-1"/>
        </w:rPr>
        <w:t>annual</w:t>
      </w:r>
      <w:r>
        <w:rPr>
          <w:spacing w:val="9"/>
        </w:rPr>
        <w:t xml:space="preserve"> </w:t>
      </w:r>
      <w:r>
        <w:rPr>
          <w:spacing w:val="-1"/>
        </w:rPr>
        <w:t>survey</w:t>
      </w:r>
      <w:r>
        <w:rPr>
          <w:spacing w:val="8"/>
        </w:rPr>
        <w:t xml:space="preserve"> </w:t>
      </w:r>
      <w:r>
        <w:rPr>
          <w:spacing w:val="-1"/>
        </w:rPr>
        <w:t>on</w:t>
      </w:r>
      <w:r>
        <w:rPr>
          <w:spacing w:val="8"/>
        </w:rPr>
        <w:t xml:space="preserve"> </w:t>
      </w:r>
      <w:r>
        <w:rPr>
          <w:spacing w:val="-1"/>
        </w:rPr>
        <w:t>any</w:t>
      </w:r>
      <w:r>
        <w:rPr>
          <w:spacing w:val="9"/>
        </w:rPr>
        <w:t xml:space="preserve"> </w:t>
      </w:r>
      <w:r>
        <w:rPr>
          <w:spacing w:val="-1"/>
        </w:rPr>
        <w:t>d</w:t>
      </w:r>
      <w:r>
        <w:rPr>
          <w:spacing w:val="-2"/>
        </w:rPr>
        <w:t>ate</w:t>
      </w:r>
      <w:r>
        <w:rPr>
          <w:spacing w:val="15"/>
        </w:rPr>
        <w:t xml:space="preserve"> </w:t>
      </w:r>
      <w:r>
        <w:rPr>
          <w:spacing w:val="-2"/>
        </w:rPr>
        <w:t>between</w:t>
      </w:r>
      <w:r>
        <w:rPr>
          <w:spacing w:val="14"/>
          <w:w w:val="102"/>
        </w:rPr>
        <w:t xml:space="preserve"> </w:t>
      </w:r>
      <w:r>
        <w:rPr>
          <w:spacing w:val="-2"/>
        </w:rPr>
        <w:t>1</w:t>
      </w:r>
      <w:r>
        <w:t xml:space="preserve"> </w:t>
      </w:r>
      <w:r>
        <w:rPr>
          <w:spacing w:val="-2"/>
        </w:rPr>
        <w:t>January</w:t>
      </w:r>
      <w:r>
        <w:rPr>
          <w:spacing w:val="11"/>
          <w:w w:val="101"/>
        </w:rPr>
        <w:t xml:space="preserve"> </w:t>
      </w:r>
      <w:r>
        <w:rPr>
          <w:spacing w:val="-2"/>
        </w:rPr>
        <w:t>and</w:t>
      </w:r>
      <w:r>
        <w:rPr>
          <w:spacing w:val="10"/>
          <w:w w:val="102"/>
        </w:rPr>
        <w:t xml:space="preserve"> </w:t>
      </w:r>
      <w:r>
        <w:rPr>
          <w:spacing w:val="-2"/>
        </w:rPr>
        <w:t>30</w:t>
      </w:r>
      <w:r>
        <w:t xml:space="preserve"> </w:t>
      </w:r>
      <w:r>
        <w:rPr>
          <w:spacing w:val="-2"/>
        </w:rPr>
        <w:t>June.</w:t>
      </w:r>
    </w:p>
    <w:p w14:paraId="047711A2">
      <w:pPr>
        <w:pStyle w:val="2"/>
        <w:spacing w:before="65" w:line="223" w:lineRule="auto"/>
        <w:ind w:left="721" w:right="186" w:hanging="358"/>
      </w:pPr>
      <w:r>
        <w:rPr>
          <w:spacing w:val="-1"/>
        </w:rPr>
        <w:t>6.     When the</w:t>
      </w:r>
      <w:r>
        <w:rPr>
          <w:spacing w:val="15"/>
        </w:rPr>
        <w:t xml:space="preserve"> </w:t>
      </w:r>
      <w:r>
        <w:rPr>
          <w:spacing w:val="-1"/>
        </w:rPr>
        <w:t>Business</w:t>
      </w:r>
      <w:r>
        <w:rPr>
          <w:spacing w:val="17"/>
        </w:rPr>
        <w:t xml:space="preserve"> </w:t>
      </w:r>
      <w:r>
        <w:rPr>
          <w:spacing w:val="-1"/>
        </w:rPr>
        <w:t>License</w:t>
      </w:r>
      <w:r>
        <w:rPr>
          <w:spacing w:val="13"/>
          <w:w w:val="101"/>
        </w:rPr>
        <w:t xml:space="preserve"> </w:t>
      </w:r>
      <w:r>
        <w:rPr>
          <w:spacing w:val="-1"/>
        </w:rPr>
        <w:t>is</w:t>
      </w:r>
      <w:r>
        <w:rPr>
          <w:spacing w:val="9"/>
        </w:rPr>
        <w:t xml:space="preserve"> </w:t>
      </w:r>
      <w:r>
        <w:rPr>
          <w:spacing w:val="-1"/>
        </w:rPr>
        <w:t>cance</w:t>
      </w:r>
      <w:r>
        <w:rPr>
          <w:spacing w:val="-2"/>
        </w:rPr>
        <w:t>lled,</w:t>
      </w:r>
      <w:r>
        <w:rPr>
          <w:spacing w:val="12"/>
        </w:rPr>
        <w:t xml:space="preserve"> </w:t>
      </w:r>
      <w:r>
        <w:rPr>
          <w:spacing w:val="-2"/>
        </w:rPr>
        <w:t>any</w:t>
      </w:r>
      <w:r>
        <w:rPr>
          <w:spacing w:val="14"/>
        </w:rPr>
        <w:t xml:space="preserve"> </w:t>
      </w:r>
      <w:r>
        <w:rPr>
          <w:spacing w:val="-2"/>
        </w:rPr>
        <w:t>business</w:t>
      </w:r>
      <w:r>
        <w:rPr>
          <w:spacing w:val="10"/>
        </w:rPr>
        <w:t xml:space="preserve"> </w:t>
      </w:r>
      <w:r>
        <w:rPr>
          <w:spacing w:val="-2"/>
        </w:rPr>
        <w:t>activities</w:t>
      </w:r>
      <w:r>
        <w:rPr>
          <w:spacing w:val="12"/>
          <w:w w:val="102"/>
        </w:rPr>
        <w:t xml:space="preserve"> </w:t>
      </w:r>
      <w:r>
        <w:rPr>
          <w:spacing w:val="-2"/>
        </w:rPr>
        <w:t>not</w:t>
      </w:r>
      <w:r>
        <w:rPr>
          <w:spacing w:val="10"/>
          <w:w w:val="101"/>
        </w:rPr>
        <w:t xml:space="preserve"> </w:t>
      </w:r>
      <w:r>
        <w:rPr>
          <w:spacing w:val="-2"/>
        </w:rPr>
        <w:t>concerning</w:t>
      </w:r>
      <w:r>
        <w:rPr>
          <w:spacing w:val="4"/>
        </w:rPr>
        <w:t xml:space="preserve"> </w:t>
      </w:r>
      <w:r>
        <w:rPr>
          <w:spacing w:val="-2"/>
        </w:rPr>
        <w:t>the</w:t>
      </w:r>
      <w:r>
        <w:rPr>
          <w:spacing w:val="16"/>
        </w:rPr>
        <w:t xml:space="preserve"> </w:t>
      </w:r>
      <w:r>
        <w:rPr>
          <w:spacing w:val="-2"/>
        </w:rPr>
        <w:t>liquidation</w:t>
      </w:r>
      <w:r>
        <w:rPr>
          <w:spacing w:val="9"/>
        </w:rPr>
        <w:t xml:space="preserve"> </w:t>
      </w:r>
      <w:r>
        <w:rPr>
          <w:spacing w:val="-2"/>
        </w:rPr>
        <w:t>shall</w:t>
      </w:r>
      <w:r>
        <w:rPr>
          <w:spacing w:val="15"/>
          <w:w w:val="101"/>
        </w:rPr>
        <w:t xml:space="preserve"> </w:t>
      </w:r>
      <w:r>
        <w:rPr>
          <w:spacing w:val="-2"/>
        </w:rPr>
        <w:t>not</w:t>
      </w:r>
      <w:r>
        <w:rPr>
          <w:spacing w:val="13"/>
          <w:w w:val="101"/>
        </w:rPr>
        <w:t xml:space="preserve"> </w:t>
      </w:r>
      <w:r>
        <w:rPr>
          <w:spacing w:val="-2"/>
        </w:rPr>
        <w:t>be</w:t>
      </w:r>
      <w:r>
        <w:t xml:space="preserve"> </w:t>
      </w:r>
      <w:r>
        <w:rPr>
          <w:spacing w:val="-1"/>
        </w:rPr>
        <w:t>allowed.</w:t>
      </w:r>
    </w:p>
    <w:p w14:paraId="3CBB4BAB">
      <w:pPr>
        <w:pStyle w:val="2"/>
        <w:spacing w:before="65" w:line="224" w:lineRule="auto"/>
        <w:ind w:left="726" w:right="421" w:hanging="364"/>
      </w:pPr>
      <w:r>
        <w:rPr>
          <w:spacing w:val="-1"/>
        </w:rPr>
        <w:t>7.     When the</w:t>
      </w:r>
      <w:r>
        <w:rPr>
          <w:spacing w:val="7"/>
        </w:rPr>
        <w:t xml:space="preserve"> </w:t>
      </w:r>
      <w:r>
        <w:rPr>
          <w:spacing w:val="-1"/>
        </w:rPr>
        <w:t>cancellation</w:t>
      </w:r>
      <w:r>
        <w:rPr>
          <w:spacing w:val="15"/>
          <w:w w:val="101"/>
        </w:rPr>
        <w:t xml:space="preserve"> </w:t>
      </w:r>
      <w:r>
        <w:rPr>
          <w:spacing w:val="-1"/>
        </w:rPr>
        <w:t>procedures</w:t>
      </w:r>
      <w:r>
        <w:rPr>
          <w:spacing w:val="6"/>
        </w:rPr>
        <w:t xml:space="preserve"> </w:t>
      </w:r>
      <w:r>
        <w:rPr>
          <w:spacing w:val="-1"/>
        </w:rPr>
        <w:t>going</w:t>
      </w:r>
      <w:r>
        <w:rPr>
          <w:spacing w:val="10"/>
          <w:w w:val="101"/>
        </w:rPr>
        <w:t xml:space="preserve"> </w:t>
      </w:r>
      <w:r>
        <w:rPr>
          <w:spacing w:val="-1"/>
        </w:rPr>
        <w:t>on, the</w:t>
      </w:r>
      <w:r>
        <w:rPr>
          <w:spacing w:val="9"/>
        </w:rPr>
        <w:t xml:space="preserve"> </w:t>
      </w:r>
      <w:r>
        <w:rPr>
          <w:spacing w:val="-1"/>
        </w:rPr>
        <w:t>original</w:t>
      </w:r>
      <w:r>
        <w:rPr>
          <w:spacing w:val="10"/>
          <w:w w:val="102"/>
        </w:rPr>
        <w:t xml:space="preserve"> </w:t>
      </w:r>
      <w:r>
        <w:rPr>
          <w:spacing w:val="-1"/>
        </w:rPr>
        <w:t>and</w:t>
      </w:r>
      <w:r>
        <w:rPr>
          <w:spacing w:val="10"/>
        </w:rPr>
        <w:t xml:space="preserve"> </w:t>
      </w:r>
      <w:r>
        <w:rPr>
          <w:spacing w:val="-1"/>
        </w:rPr>
        <w:t>duplic</w:t>
      </w:r>
      <w:r>
        <w:rPr>
          <w:spacing w:val="-2"/>
        </w:rPr>
        <w:t>ate</w:t>
      </w:r>
      <w:r>
        <w:rPr>
          <w:spacing w:val="7"/>
        </w:rPr>
        <w:t xml:space="preserve"> </w:t>
      </w:r>
      <w:r>
        <w:rPr>
          <w:spacing w:val="-2"/>
        </w:rPr>
        <w:t>of</w:t>
      </w:r>
      <w:r>
        <w:rPr>
          <w:spacing w:val="2"/>
        </w:rPr>
        <w:t xml:space="preserve"> </w:t>
      </w:r>
      <w:r>
        <w:rPr>
          <w:spacing w:val="-2"/>
        </w:rPr>
        <w:t>the</w:t>
      </w:r>
      <w:r>
        <w:rPr>
          <w:spacing w:val="14"/>
          <w:w w:val="101"/>
        </w:rPr>
        <w:t xml:space="preserve"> </w:t>
      </w:r>
      <w:r>
        <w:rPr>
          <w:spacing w:val="-2"/>
        </w:rPr>
        <w:t>Business</w:t>
      </w:r>
      <w:r>
        <w:rPr>
          <w:spacing w:val="19"/>
          <w:w w:val="101"/>
        </w:rPr>
        <w:t xml:space="preserve"> </w:t>
      </w:r>
      <w:r>
        <w:rPr>
          <w:spacing w:val="-2"/>
        </w:rPr>
        <w:t>License</w:t>
      </w:r>
      <w:r>
        <w:rPr>
          <w:spacing w:val="6"/>
        </w:rPr>
        <w:t xml:space="preserve"> </w:t>
      </w:r>
      <w:r>
        <w:rPr>
          <w:spacing w:val="-2"/>
        </w:rPr>
        <w:t>shall</w:t>
      </w:r>
      <w:r>
        <w:rPr>
          <w:spacing w:val="16"/>
          <w:w w:val="101"/>
        </w:rPr>
        <w:t xml:space="preserve"> </w:t>
      </w:r>
      <w:r>
        <w:rPr>
          <w:spacing w:val="-2"/>
        </w:rPr>
        <w:t>be</w:t>
      </w:r>
      <w:r>
        <w:t xml:space="preserve"> </w:t>
      </w:r>
      <w:r>
        <w:rPr>
          <w:spacing w:val="-2"/>
        </w:rPr>
        <w:t>returned.</w:t>
      </w:r>
    </w:p>
    <w:p w14:paraId="40D1AA56">
      <w:pPr>
        <w:pStyle w:val="2"/>
        <w:spacing w:before="65" w:line="224" w:lineRule="auto"/>
        <w:ind w:left="726" w:right="541" w:hanging="366"/>
      </w:pPr>
      <w:r>
        <w:rPr>
          <w:spacing w:val="-1"/>
        </w:rPr>
        <w:t>8.      If the</w:t>
      </w:r>
      <w:r>
        <w:rPr>
          <w:spacing w:val="17"/>
        </w:rPr>
        <w:t xml:space="preserve"> </w:t>
      </w:r>
      <w:r>
        <w:rPr>
          <w:spacing w:val="-1"/>
        </w:rPr>
        <w:t>Business</w:t>
      </w:r>
      <w:r>
        <w:rPr>
          <w:spacing w:val="17"/>
        </w:rPr>
        <w:t xml:space="preserve"> </w:t>
      </w:r>
      <w:r>
        <w:rPr>
          <w:spacing w:val="-1"/>
        </w:rPr>
        <w:t>License</w:t>
      </w:r>
      <w:r>
        <w:rPr>
          <w:spacing w:val="13"/>
          <w:w w:val="101"/>
        </w:rPr>
        <w:t xml:space="preserve"> </w:t>
      </w:r>
      <w:r>
        <w:rPr>
          <w:spacing w:val="-1"/>
        </w:rPr>
        <w:t>i</w:t>
      </w:r>
      <w:r>
        <w:rPr>
          <w:spacing w:val="-2"/>
        </w:rPr>
        <w:t>s</w:t>
      </w:r>
      <w:r>
        <w:rPr>
          <w:spacing w:val="15"/>
          <w:w w:val="101"/>
        </w:rPr>
        <w:t xml:space="preserve"> </w:t>
      </w:r>
      <w:r>
        <w:rPr>
          <w:spacing w:val="-2"/>
        </w:rPr>
        <w:t>lost or damaged, the</w:t>
      </w:r>
      <w:r>
        <w:rPr>
          <w:spacing w:val="9"/>
        </w:rPr>
        <w:t xml:space="preserve"> </w:t>
      </w:r>
      <w:r>
        <w:rPr>
          <w:spacing w:val="-2"/>
        </w:rPr>
        <w:t>company shall</w:t>
      </w:r>
      <w:r>
        <w:rPr>
          <w:spacing w:val="16"/>
          <w:w w:val="101"/>
        </w:rPr>
        <w:t xml:space="preserve"> </w:t>
      </w:r>
      <w:r>
        <w:rPr>
          <w:spacing w:val="-2"/>
        </w:rPr>
        <w:t>make</w:t>
      </w:r>
      <w:r>
        <w:rPr>
          <w:spacing w:val="7"/>
        </w:rPr>
        <w:t xml:space="preserve"> </w:t>
      </w:r>
      <w:r>
        <w:rPr>
          <w:spacing w:val="-2"/>
        </w:rPr>
        <w:t>a</w:t>
      </w:r>
      <w:r>
        <w:rPr>
          <w:spacing w:val="8"/>
        </w:rPr>
        <w:t xml:space="preserve"> </w:t>
      </w:r>
      <w:r>
        <w:rPr>
          <w:spacing w:val="-2"/>
        </w:rPr>
        <w:t>statement</w:t>
      </w:r>
      <w:r>
        <w:rPr>
          <w:spacing w:val="10"/>
          <w:w w:val="101"/>
        </w:rPr>
        <w:t xml:space="preserve"> </w:t>
      </w:r>
      <w:r>
        <w:rPr>
          <w:spacing w:val="-2"/>
        </w:rPr>
        <w:t>of</w:t>
      </w:r>
      <w:r>
        <w:rPr>
          <w:spacing w:val="7"/>
        </w:rPr>
        <w:t xml:space="preserve"> </w:t>
      </w:r>
      <w:r>
        <w:rPr>
          <w:spacing w:val="-2"/>
        </w:rPr>
        <w:t>invalidation</w:t>
      </w:r>
      <w:r>
        <w:rPr>
          <w:spacing w:val="14"/>
        </w:rPr>
        <w:t xml:space="preserve"> </w:t>
      </w:r>
      <w:r>
        <w:rPr>
          <w:spacing w:val="-2"/>
        </w:rPr>
        <w:t>in the</w:t>
      </w:r>
      <w:r>
        <w:t xml:space="preserve"> </w:t>
      </w:r>
      <w:r>
        <w:rPr>
          <w:spacing w:val="-2"/>
        </w:rPr>
        <w:t>newspaper</w:t>
      </w:r>
      <w:r>
        <w:rPr>
          <w:spacing w:val="21"/>
        </w:rPr>
        <w:t xml:space="preserve"> </w:t>
      </w:r>
      <w:r>
        <w:rPr>
          <w:spacing w:val="-2"/>
        </w:rPr>
        <w:t>designated</w:t>
      </w:r>
      <w:r>
        <w:rPr>
          <w:spacing w:val="15"/>
        </w:rPr>
        <w:t xml:space="preserve"> </w:t>
      </w:r>
      <w:r>
        <w:rPr>
          <w:spacing w:val="-2"/>
        </w:rPr>
        <w:t>by the</w:t>
      </w:r>
      <w:r>
        <w:rPr>
          <w:spacing w:val="10"/>
        </w:rPr>
        <w:t xml:space="preserve"> </w:t>
      </w:r>
      <w:r>
        <w:rPr>
          <w:spacing w:val="-2"/>
        </w:rPr>
        <w:t>original</w:t>
      </w:r>
      <w:r>
        <w:rPr>
          <w:spacing w:val="10"/>
        </w:rPr>
        <w:t xml:space="preserve"> </w:t>
      </w:r>
      <w:r>
        <w:rPr>
          <w:spacing w:val="-2"/>
        </w:rPr>
        <w:t>authority,</w:t>
      </w:r>
      <w:r>
        <w:rPr>
          <w:spacing w:val="11"/>
          <w:w w:val="101"/>
        </w:rPr>
        <w:t xml:space="preserve"> </w:t>
      </w:r>
      <w:r>
        <w:rPr>
          <w:spacing w:val="-2"/>
        </w:rPr>
        <w:t>and then</w:t>
      </w:r>
      <w:r>
        <w:rPr>
          <w:spacing w:val="12"/>
        </w:rPr>
        <w:t xml:space="preserve"> </w:t>
      </w:r>
      <w:r>
        <w:rPr>
          <w:spacing w:val="-2"/>
        </w:rPr>
        <w:t>apply</w:t>
      </w:r>
      <w:r>
        <w:rPr>
          <w:spacing w:val="11"/>
        </w:rPr>
        <w:t xml:space="preserve"> </w:t>
      </w:r>
      <w:r>
        <w:rPr>
          <w:spacing w:val="-2"/>
        </w:rPr>
        <w:t>a</w:t>
      </w:r>
      <w:r>
        <w:rPr>
          <w:spacing w:val="14"/>
        </w:rPr>
        <w:t xml:space="preserve"> </w:t>
      </w:r>
      <w:r>
        <w:rPr>
          <w:spacing w:val="-2"/>
        </w:rPr>
        <w:t>new</w:t>
      </w:r>
      <w:r>
        <w:rPr>
          <w:spacing w:val="9"/>
        </w:rPr>
        <w:t xml:space="preserve"> </w:t>
      </w:r>
      <w:r>
        <w:rPr>
          <w:spacing w:val="-2"/>
        </w:rPr>
        <w:t>one.</w:t>
      </w:r>
    </w:p>
    <w:p w14:paraId="0A66E60F">
      <w:pPr>
        <w:spacing w:line="281" w:lineRule="auto"/>
        <w:rPr>
          <w:rFonts w:ascii="Arial"/>
          <w:sz w:val="21"/>
          <w:highlight w:val="none"/>
        </w:rPr>
      </w:pPr>
    </w:p>
    <w:p w14:paraId="77A4E2F6">
      <w:pPr>
        <w:spacing w:line="281" w:lineRule="auto"/>
        <w:rPr>
          <w:rFonts w:ascii="Arial"/>
          <w:sz w:val="21"/>
          <w:highlight w:val="none"/>
        </w:rPr>
      </w:pPr>
    </w:p>
    <w:p w14:paraId="101C6BF3">
      <w:pPr>
        <w:pStyle w:val="2"/>
        <w:spacing w:before="56" w:line="189" w:lineRule="auto"/>
        <w:ind w:left="2065"/>
        <w:rPr>
          <w:rFonts w:hint="default" w:eastAsia="宋体"/>
          <w:highlight w:val="none"/>
          <w:lang w:val="en-US" w:eastAsia="zh-CN"/>
        </w:rPr>
      </w:pPr>
      <w:r>
        <w:rPr>
          <w:highlight w:val="none"/>
        </w:rPr>
        <w:t xml:space="preserve">Registration authority: </w:t>
      </w:r>
      <w:r>
        <w:rPr>
          <w:rFonts w:hint="eastAsia" w:eastAsia="宋体"/>
          <w:highlight w:val="none"/>
          <w:lang w:val="en-US" w:eastAsia="zh-CN"/>
        </w:rPr>
        <w:t>shenzhen</w:t>
      </w:r>
      <w:r>
        <w:rPr>
          <w:highlight w:val="none"/>
        </w:rPr>
        <w:t xml:space="preserve"> adm</w:t>
      </w:r>
      <w:r>
        <w:rPr>
          <w:spacing w:val="-1"/>
          <w:highlight w:val="none"/>
        </w:rPr>
        <w:t>inistration for in</w:t>
      </w:r>
      <w:r>
        <w:rPr>
          <w:spacing w:val="-2"/>
        </w:rPr>
        <w:t xml:space="preserve">dustry and commerce </w:t>
      </w:r>
      <w:r>
        <w:rPr>
          <w:rFonts w:hint="eastAsia"/>
          <w:spacing w:val="-2"/>
          <w:lang w:val="en-US" w:eastAsia="zh-CN"/>
        </w:rPr>
        <w:t>16.06.2023</w:t>
      </w:r>
    </w:p>
    <w:sectPr>
      <w:pgSz w:w="12240" w:h="15840"/>
      <w:pgMar w:top="1346" w:right="1836" w:bottom="0" w:left="1806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3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4"/>
  </w:compat>
  <w:rsids>
    <w:rsidRoot w:val="00000000"/>
    <w:rsid w:val="02EC754A"/>
    <w:rsid w:val="17D26ACD"/>
    <w:rsid w:val="1B7C3022"/>
    <w:rsid w:val="1F5F51A1"/>
    <w:rsid w:val="22731EF1"/>
    <w:rsid w:val="26A97581"/>
    <w:rsid w:val="2C132208"/>
    <w:rsid w:val="2C762F09"/>
    <w:rsid w:val="327B11A5"/>
    <w:rsid w:val="3E05528C"/>
    <w:rsid w:val="44A818BD"/>
    <w:rsid w:val="485B4F92"/>
    <w:rsid w:val="53163EBE"/>
    <w:rsid w:val="5D8958E1"/>
    <w:rsid w:val="6310019E"/>
    <w:rsid w:val="66635F9E"/>
    <w:rsid w:val="6DD8026E"/>
    <w:rsid w:val="6E796F64"/>
    <w:rsid w:val="6FAA43A1"/>
    <w:rsid w:val="740616BD"/>
    <w:rsid w:val="74FD4DFC"/>
    <w:rsid w:val="79252860"/>
    <w:rsid w:val="7E5E4846"/>
    <w:rsid w:val="7EC20F0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Calibri" w:hAnsi="Calibri" w:eastAsia="Calibri" w:cs="Calibri"/>
      <w:sz w:val="18"/>
      <w:szCs w:val="18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191</Words>
  <Characters>1015</Characters>
  <TotalTime>1331</TotalTime>
  <ScaleCrop>false</ScaleCrop>
  <LinksUpToDate>false</LinksUpToDate>
  <CharactersWithSpaces>1221</CharactersWithSpaces>
  <Application>WPS Office_12.1.0.23125_F1E327BC-269C-435d-A152-05C5408002CA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2025-01-23T14:02:00Z</dcterms:created>
  <dc:creator>王 萌</dc:creator>
  <cp:lastModifiedBy>ade</cp:lastModifiedBy>
  <dcterms:modified xsi:type="dcterms:W3CDTF">2025-10-23T06:09:06Z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wqlLaW5nc29mdCBQREYgdG8gV1BTIDExMA</vt:lpwstr>
  </property>
  <property fmtid="{D5CDD505-2E9C-101B-9397-08002B2CF9AE}" pid="3" name="Created">
    <vt:filetime>2025-10-16T14:44:18Z</vt:filetime>
  </property>
  <property fmtid="{D5CDD505-2E9C-101B-9397-08002B2CF9AE}" pid="4" name="KSOProductBuildVer">
    <vt:lpwstr>2052-12.1.0.23125</vt:lpwstr>
  </property>
  <property fmtid="{D5CDD505-2E9C-101B-9397-08002B2CF9AE}" pid="5" name="ICV">
    <vt:lpwstr>69A719A9FB484A60980E02D7B0FC3FB2_13</vt:lpwstr>
  </property>
  <property fmtid="{D5CDD505-2E9C-101B-9397-08002B2CF9AE}" pid="6" name="KSOTemplateDocerSaveRecord">
    <vt:lpwstr>eyJoZGlkIjoiMTc2Y2MzOWFhYjE2MmIzNjk3MjYxYzUyOWM2YzBiYmMiLCJ1c2VySWQiOiI4MzQyOTEwODUifQ==</vt:lpwstr>
  </property>
</Properties>
</file>