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35524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8522" w:type="dxa"/>
            <w:tcBorders>
              <w:top w:val="nil"/>
              <w:left w:val="nil"/>
              <w:bottom w:val="nil"/>
              <w:right w:val="nil"/>
            </w:tcBorders>
          </w:tcPr>
          <w:p w14:paraId="13192353">
            <w:pPr>
              <w:widowControl w:val="0"/>
              <w:jc w:val="center"/>
              <w:rPr>
                <w:rFonts w:hint="eastAsia" w:ascii="Calibri" w:hAnsi="Calibri" w:eastAsia="等线" w:cs="宋体"/>
                <w:b/>
                <w:bCs/>
                <w:color w:val="auto"/>
                <w:sz w:val="36"/>
                <w:szCs w:val="36"/>
                <w:highlight w:val="none"/>
                <w:vertAlign w:val="baseline"/>
                <w:lang w:val="en-US" w:eastAsia="zh-CN" w:bidi="ar-SA"/>
              </w:rPr>
            </w:pPr>
            <w:r>
              <w:rPr>
                <w:rFonts w:hint="eastAsia" w:ascii="Calibri" w:hAnsi="Calibri" w:eastAsia="等线" w:cs="宋体"/>
                <w:b/>
                <w:bCs/>
                <w:color w:val="auto"/>
                <w:sz w:val="36"/>
                <w:szCs w:val="36"/>
                <w:highlight w:val="none"/>
                <w:vertAlign w:val="baseline"/>
                <w:lang w:val="en-US" w:eastAsia="zh-CN" w:bidi="ar-SA"/>
              </w:rPr>
              <w:t>STATUTS</w:t>
            </w:r>
          </w:p>
        </w:tc>
      </w:tr>
      <w:tr w14:paraId="6FB21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nil"/>
              <w:left w:val="nil"/>
              <w:bottom w:val="nil"/>
              <w:right w:val="nil"/>
            </w:tcBorders>
          </w:tcPr>
          <w:p w14:paraId="032024DA">
            <w:pPr>
              <w:widowControl w:val="0"/>
              <w:jc w:val="center"/>
              <w:rPr>
                <w:rFonts w:hint="eastAsia" w:ascii="Calibri" w:hAnsi="Calibri" w:eastAsia="等线" w:cs="宋体"/>
                <w:b/>
                <w:bCs/>
                <w:color w:val="auto"/>
                <w:sz w:val="36"/>
                <w:szCs w:val="36"/>
                <w:highlight w:val="none"/>
                <w:vertAlign w:val="baseline"/>
                <w:lang w:val="en-US" w:eastAsia="zh-CN" w:bidi="ar-SA"/>
              </w:rPr>
            </w:pPr>
            <w:r>
              <w:rPr>
                <w:rFonts w:hint="eastAsia" w:ascii="Calibri" w:hAnsi="Calibri" w:eastAsia="等线" w:cs="宋体"/>
                <w:b/>
                <w:bCs/>
                <w:color w:val="auto"/>
                <w:sz w:val="36"/>
                <w:szCs w:val="36"/>
                <w:highlight w:val="none"/>
                <w:vertAlign w:val="baseline"/>
                <w:lang w:val="en-US" w:eastAsia="zh-CN" w:bidi="ar-SA"/>
              </w:rPr>
              <w:t> JIA LI SHI YE XIANG GANG YOU XIAN GONG SI 1</w:t>
            </w:r>
          </w:p>
        </w:tc>
      </w:tr>
    </w:tbl>
    <w:p w14:paraId="693244AB">
      <w:pPr>
        <w:jc w:val="center"/>
        <w:rPr>
          <w:rFonts w:hint="eastAsia" w:ascii="Calibri" w:hAnsi="Calibri" w:eastAsia="等线" w:cs="宋体"/>
          <w:b/>
          <w:bCs/>
          <w:color w:val="auto"/>
          <w:sz w:val="36"/>
          <w:szCs w:val="36"/>
          <w:highlight w:val="none"/>
          <w:lang w:val="en-US" w:eastAsia="zh-CN" w:bidi="ar-SA"/>
        </w:rPr>
      </w:pPr>
    </w:p>
    <w:p w14:paraId="4E3AB047">
      <w:pPr>
        <w:rPr>
          <w:rFonts w:ascii="Arial" w:hAnsi="Arial" w:cs="Arial"/>
          <w:color w:val="222222"/>
          <w:highlight w:val="none"/>
        </w:rPr>
      </w:pPr>
    </w:p>
    <w:p w14:paraId="11F487AA">
      <w:pPr>
        <w:rPr>
          <w:rFonts w:ascii="Arial" w:hAnsi="Arial" w:cs="Arial"/>
          <w:color w:val="222222"/>
          <w:highlight w:val="none"/>
        </w:rPr>
      </w:pPr>
      <w:r>
        <w:rPr>
          <w:rFonts w:ascii="Arial" w:hAnsi="Arial" w:cs="Arial"/>
          <w:color w:val="222222"/>
          <w:highlight w:val="none"/>
        </w:rPr>
        <w:t>Chapitre I Récapitulation</w:t>
      </w:r>
    </w:p>
    <w:p w14:paraId="5563451C">
      <w:pPr>
        <w:rPr>
          <w:rFonts w:ascii="Arial" w:hAnsi="Arial" w:cs="Arial"/>
          <w:color w:val="222222"/>
          <w:highlight w:val="none"/>
        </w:rPr>
      </w:pPr>
      <w:r>
        <w:rPr>
          <w:rFonts w:ascii="Arial" w:hAnsi="Arial" w:cs="Arial"/>
          <w:color w:val="222222"/>
          <w:highlight w:val="none"/>
        </w:rPr>
        <w:br w:type="textWrapping"/>
      </w:r>
      <w:r>
        <w:rPr>
          <w:rFonts w:ascii="Arial" w:hAnsi="Arial" w:cs="Arial"/>
          <w:color w:val="222222"/>
          <w:highlight w:val="none"/>
        </w:rPr>
        <w:t>Article 1</w:t>
      </w:r>
    </w:p>
    <w:p w14:paraId="127F2920">
      <w:pPr>
        <w:rPr>
          <w:rFonts w:ascii="Arial" w:hAnsi="Arial" w:cs="Arial"/>
          <w:color w:val="222222"/>
          <w:highlight w:val="none"/>
        </w:rPr>
      </w:pPr>
      <w:r>
        <w:rPr>
          <w:rFonts w:ascii="Arial" w:hAnsi="Arial" w:cs="Arial"/>
          <w:color w:val="222222"/>
          <w:highlight w:val="none"/>
        </w:rPr>
        <w:t>Afin de réglementer le comportement des entreprises individuelles, de protéger les droits et intérêts légitimes des investisseurs individuels et des créanciers, de maintenir l’ordre social et économique et de promouvoir le développement de l’économie de marché socialiste, les présents statuts sont établis conformément à la loi sur les entreprises individuelles. C'est le principe de fonctionnement de l'entreprise.</w:t>
      </w:r>
    </w:p>
    <w:p w14:paraId="387E3465">
      <w:pPr>
        <w:rPr>
          <w:rStyle w:val="10"/>
          <w:rFonts w:ascii="Arial" w:hAnsi="Arial" w:cs="Arial"/>
          <w:color w:val="222222"/>
          <w:sz w:val="22"/>
          <w:szCs w:val="22"/>
          <w:highlight w:val="none"/>
        </w:rPr>
      </w:pPr>
      <w:r>
        <w:rPr>
          <w:rStyle w:val="10"/>
          <w:rFonts w:ascii="Arial" w:hAnsi="Arial" w:cs="Arial"/>
          <w:color w:val="222222"/>
          <w:highlight w:val="none"/>
        </w:rPr>
        <w:t xml:space="preserve">Article 2 </w:t>
      </w:r>
    </w:p>
    <w:p w14:paraId="262A4C90">
      <w:pPr>
        <w:pStyle w:val="5"/>
        <w:shd w:val="clear" w:color="auto" w:fill="FFFFFF"/>
        <w:spacing w:before="0" w:beforeAutospacing="0" w:after="0" w:afterAutospacing="0"/>
        <w:rPr>
          <w:rFonts w:hint="default" w:ascii="Arial" w:hAnsi="Arial" w:cs="Arial" w:eastAsiaTheme="minorEastAsia"/>
          <w:color w:val="auto"/>
          <w:sz w:val="22"/>
          <w:szCs w:val="22"/>
          <w:highlight w:val="none"/>
          <w:lang w:val="en-US" w:eastAsia="zh-CN" w:bidi="ar-SA"/>
        </w:rPr>
      </w:pPr>
      <w:r>
        <w:rPr>
          <w:rFonts w:ascii="Arial" w:hAnsi="Arial" w:cs="Arial"/>
          <w:color w:val="222222"/>
          <w:sz w:val="22"/>
          <w:szCs w:val="22"/>
          <w:highlight w:val="none"/>
        </w:rPr>
        <w:t>Dénomination</w:t>
      </w:r>
      <w:r>
        <w:rPr>
          <w:rFonts w:hint="eastAsia" w:ascii="Arial" w:hAnsi="Arial" w:cs="Arial"/>
          <w:color w:val="222222"/>
          <w:sz w:val="22"/>
          <w:szCs w:val="22"/>
          <w:highlight w:val="none"/>
          <w:lang w:val="en-US" w:eastAsia="zh-CN"/>
        </w:rPr>
        <w:t xml:space="preserve"> </w:t>
      </w:r>
      <w:r>
        <w:rPr>
          <w:rFonts w:ascii="Arial" w:hAnsi="Arial" w:cs="Arial"/>
          <w:color w:val="222222"/>
          <w:sz w:val="22"/>
          <w:szCs w:val="22"/>
          <w:highlight w:val="none"/>
        </w:rPr>
        <w:t>sociale</w:t>
      </w:r>
      <w:r>
        <w:rPr>
          <w:rFonts w:ascii="Arial" w:hAnsi="Arial" w:cs="Arial"/>
          <w:color w:val="222222"/>
          <w:sz w:val="22"/>
          <w:szCs w:val="22"/>
          <w:highlight w:val="none"/>
          <w:lang w:eastAsia="zh-TW"/>
        </w:rPr>
        <w:t>:</w:t>
      </w:r>
      <w:r>
        <w:rPr>
          <w:rFonts w:hint="eastAsia" w:ascii="Arial" w:hAnsi="Arial" w:cs="Arial"/>
          <w:color w:val="auto"/>
          <w:sz w:val="22"/>
          <w:szCs w:val="22"/>
          <w:highlight w:val="none"/>
          <w:lang w:val="en-US" w:eastAsia="zh-CN"/>
        </w:rPr>
        <w:t xml:space="preserve">  JIA LI SHI YE XIANG GANG YOU XIAN GONG SI 1</w:t>
      </w:r>
    </w:p>
    <w:p w14:paraId="19F9A686">
      <w:pPr>
        <w:rPr>
          <w:rFonts w:ascii="Arial" w:hAnsi="Arial" w:cs="Arial"/>
          <w:color w:val="auto"/>
          <w:highlight w:val="none"/>
        </w:rPr>
      </w:pPr>
    </w:p>
    <w:p w14:paraId="5ED93B4C">
      <w:pPr>
        <w:rPr>
          <w:rFonts w:ascii="Arial" w:hAnsi="Arial" w:cs="Arial"/>
          <w:color w:val="auto"/>
          <w:highlight w:val="none"/>
        </w:rPr>
      </w:pPr>
      <w:r>
        <w:rPr>
          <w:rFonts w:ascii="Arial" w:hAnsi="Arial" w:cs="Arial"/>
          <w:color w:val="auto"/>
          <w:highlight w:val="none"/>
        </w:rPr>
        <w:t>Article 3</w:t>
      </w:r>
    </w:p>
    <w:p w14:paraId="14F89553">
      <w:pPr>
        <w:rPr>
          <w:rFonts w:hint="eastAsia" w:ascii="Arial" w:hAnsi="Arial" w:cs="Arial"/>
          <w:color w:val="auto"/>
          <w:sz w:val="22"/>
          <w:szCs w:val="22"/>
          <w:highlight w:val="none"/>
          <w:lang w:val="en-US" w:eastAsia="zh-CN" w:bidi="ar-SA"/>
        </w:rPr>
      </w:pPr>
      <w:r>
        <w:rPr>
          <w:rFonts w:ascii="Arial" w:hAnsi="Arial" w:cs="Arial"/>
          <w:color w:val="auto"/>
          <w:highlight w:val="none"/>
        </w:rPr>
        <w:t>Siège social</w:t>
      </w:r>
      <w:r>
        <w:rPr>
          <w:rFonts w:ascii="Arial" w:hAnsi="Arial" w:cs="Arial"/>
          <w:color w:val="auto"/>
          <w:highlight w:val="none"/>
          <w:lang w:eastAsia="zh-TW"/>
        </w:rPr>
        <w:t xml:space="preserve">: </w:t>
      </w:r>
      <w:r>
        <w:rPr>
          <w:rFonts w:hint="eastAsia" w:ascii="Arial" w:hAnsi="Arial" w:cs="Arial"/>
          <w:color w:val="auto"/>
          <w:highlight w:val="none"/>
          <w:lang w:val="en-US" w:eastAsia="zh-CN"/>
        </w:rPr>
        <w:t xml:space="preserve"> </w:t>
      </w:r>
      <w:r>
        <w:rPr>
          <w:rFonts w:hint="eastAsia" w:ascii="Arial" w:hAnsi="Arial" w:cs="Arial"/>
          <w:color w:val="auto"/>
          <w:sz w:val="22"/>
          <w:szCs w:val="22"/>
          <w:highlight w:val="none"/>
          <w:lang w:val="en-US" w:eastAsia="zh-CN" w:bidi="ar-SA"/>
        </w:rPr>
        <w:t>FLAT/RM 1006 10/F PO YIP BUILDING 23 HING YIP STREET KWUN TONG KL HK 999077 HK</w:t>
      </w:r>
    </w:p>
    <w:p w14:paraId="1BA01391">
      <w:pPr>
        <w:rPr>
          <w:rFonts w:ascii="Arial" w:hAnsi="Arial" w:cs="Arial"/>
          <w:color w:val="222222"/>
          <w:highlight w:val="none"/>
        </w:rPr>
      </w:pPr>
      <w:r>
        <w:rPr>
          <w:rFonts w:ascii="Arial" w:hAnsi="Arial" w:cs="Arial"/>
          <w:color w:val="222222"/>
          <w:highlight w:val="none"/>
        </w:rPr>
        <w:t>Article 4</w:t>
      </w:r>
    </w:p>
    <w:p w14:paraId="44F39A55">
      <w:pPr>
        <w:pStyle w:val="5"/>
        <w:shd w:val="clear" w:color="auto" w:fill="FFFFFF"/>
        <w:spacing w:before="0" w:beforeAutospacing="0" w:after="0" w:afterAutospacing="0" w:line="408" w:lineRule="atLeast"/>
        <w:rPr>
          <w:rFonts w:hint="eastAsia" w:ascii="Arial" w:hAnsi="Arial" w:cs="Arial" w:eastAsiaTheme="minorEastAsia"/>
          <w:color w:val="auto"/>
          <w:sz w:val="22"/>
          <w:szCs w:val="22"/>
          <w:highlight w:val="none"/>
          <w:lang w:val="en-US" w:eastAsia="zh-CN" w:bidi="ar-SA"/>
        </w:rPr>
      </w:pPr>
      <w:r>
        <w:rPr>
          <w:rFonts w:hint="eastAsia" w:ascii="Arial" w:hAnsi="Arial" w:cs="Arial" w:eastAsiaTheme="minorEastAsia"/>
          <w:color w:val="auto"/>
          <w:sz w:val="22"/>
          <w:szCs w:val="22"/>
          <w:highlight w:val="none"/>
          <w:lang w:val="fr-FR" w:eastAsia="zh-CN" w:bidi="ar-SA"/>
        </w:rPr>
        <w:t>M</w:t>
      </w:r>
      <w:r>
        <w:rPr>
          <w:rFonts w:hint="eastAsia" w:ascii="Arial" w:hAnsi="Arial" w:cs="Arial" w:eastAsiaTheme="minorEastAsia"/>
          <w:color w:val="auto"/>
          <w:sz w:val="22"/>
          <w:szCs w:val="22"/>
          <w:highlight w:val="none"/>
          <w:lang w:val="en-US" w:eastAsia="zh-CN" w:bidi="ar-SA"/>
        </w:rPr>
        <w:t>onsieur Caixiu Zhong</w:t>
      </w:r>
      <w:r>
        <w:rPr>
          <w:rFonts w:hint="eastAsia" w:ascii="Arial" w:hAnsi="Arial" w:cs="Arial" w:eastAsiaTheme="minorEastAsia"/>
          <w:color w:val="auto"/>
          <w:sz w:val="22"/>
          <w:szCs w:val="22"/>
          <w:highlight w:val="none"/>
          <w:lang w:val="fr-FR" w:eastAsia="zh-TW" w:bidi="ar-SA"/>
        </w:rPr>
        <w:t>,</w:t>
      </w:r>
      <w:r>
        <w:rPr>
          <w:rFonts w:ascii="Arial" w:hAnsi="Arial" w:cs="Arial" w:eastAsiaTheme="minorEastAsia"/>
          <w:color w:val="auto"/>
          <w:sz w:val="22"/>
          <w:szCs w:val="22"/>
          <w:highlight w:val="none"/>
          <w:lang w:val="fr-FR" w:eastAsia="zh-TW" w:bidi="ar-SA"/>
        </w:rPr>
        <w:t xml:space="preserve"> associé unique, demeurant</w:t>
      </w:r>
      <w:r>
        <w:rPr>
          <w:rFonts w:hint="eastAsia" w:ascii="Arial" w:hAnsi="Arial" w:cs="Arial" w:eastAsiaTheme="minorEastAsia"/>
          <w:color w:val="auto"/>
          <w:sz w:val="22"/>
          <w:szCs w:val="22"/>
          <w:highlight w:val="none"/>
          <w:lang w:val="en-US" w:eastAsia="zh-CN" w:bidi="ar-SA"/>
        </w:rPr>
        <w:t xml:space="preserve"> $LegalPersonAddressEn</w:t>
      </w:r>
      <w:r>
        <w:rPr>
          <w:rFonts w:ascii="Arial" w:hAnsi="Arial" w:cs="Arial" w:eastAsiaTheme="minorEastAsia"/>
          <w:color w:val="auto"/>
          <w:sz w:val="22"/>
          <w:szCs w:val="22"/>
          <w:highlight w:val="none"/>
          <w:lang w:val="fr-FR" w:eastAsia="zh-TW" w:bidi="ar-SA"/>
        </w:rPr>
        <w:t>,</w:t>
      </w:r>
      <w:r>
        <w:rPr>
          <w:rFonts w:ascii="Arial" w:hAnsi="Arial" w:cs="Arial" w:eastAsiaTheme="minorEastAsia"/>
          <w:color w:val="auto"/>
          <w:sz w:val="22"/>
          <w:szCs w:val="22"/>
          <w:highlight w:val="none"/>
          <w:lang w:val="fr-FR" w:eastAsia="zh-CN" w:bidi="ar-SA"/>
        </w:rPr>
        <w:t xml:space="preserve"> sous le numéro d’identité national</w:t>
      </w:r>
      <w:r>
        <w:rPr>
          <w:rFonts w:hint="eastAsia" w:ascii="Arial" w:hAnsi="Arial" w:cs="Arial" w:eastAsiaTheme="minorEastAsia"/>
          <w:color w:val="auto"/>
          <w:sz w:val="22"/>
          <w:szCs w:val="22"/>
          <w:highlight w:val="none"/>
          <w:lang w:val="en-US" w:eastAsia="zh-CN" w:bidi="ar-SA"/>
        </w:rPr>
        <w:t>e $LegalPersonIdNumber</w:t>
      </w:r>
      <w:r>
        <w:rPr>
          <w:rFonts w:hint="eastAsia" w:ascii="Arial" w:hAnsi="Arial" w:cs="Arial" w:eastAsiaTheme="minorEastAsia"/>
          <w:color w:val="auto"/>
          <w:sz w:val="22"/>
          <w:szCs w:val="22"/>
          <w:highlight w:val="none"/>
          <w:lang w:val="en-US" w:eastAsia="zh-TW" w:bidi="ar-SA"/>
        </w:rPr>
        <w:t xml:space="preserve">, </w:t>
      </w:r>
      <w:r>
        <w:rPr>
          <w:rFonts w:hint="eastAsia" w:ascii="Arial" w:hAnsi="Arial" w:cs="Arial" w:eastAsiaTheme="minorEastAsia"/>
          <w:color w:val="auto"/>
          <w:sz w:val="22"/>
          <w:szCs w:val="22"/>
          <w:highlight w:val="none"/>
          <w:lang w:val="en-US" w:eastAsia="zh-CN" w:bidi="ar-SA"/>
        </w:rPr>
        <w:t>est nommé le gérant de l’entreprise.</w:t>
      </w:r>
    </w:p>
    <w:p w14:paraId="54C4A4D5">
      <w:pPr>
        <w:rPr>
          <w:rFonts w:ascii="Arial" w:hAnsi="Arial" w:cs="Arial"/>
          <w:color w:val="auto"/>
          <w:highlight w:val="none"/>
        </w:rPr>
      </w:pPr>
    </w:p>
    <w:p w14:paraId="64DA8AD9">
      <w:pPr>
        <w:rPr>
          <w:rFonts w:ascii="Arial" w:hAnsi="Arial" w:cs="Arial"/>
          <w:color w:val="222222"/>
          <w:highlight w:val="none"/>
        </w:rPr>
      </w:pPr>
      <w:r>
        <w:rPr>
          <w:rFonts w:ascii="Arial" w:hAnsi="Arial" w:cs="Arial"/>
          <w:color w:val="222222"/>
          <w:highlight w:val="none"/>
        </w:rPr>
        <w:t>Article 5</w:t>
      </w:r>
    </w:p>
    <w:p w14:paraId="2627CC01">
      <w:pPr>
        <w:rPr>
          <w:rFonts w:hint="default" w:ascii="Arial" w:hAnsi="Arial" w:eastAsia="宋体" w:cs="Arial"/>
          <w:color w:val="222222"/>
          <w:sz w:val="22"/>
          <w:szCs w:val="22"/>
          <w:highlight w:val="none"/>
          <w:lang w:val="fr-FR" w:eastAsia="zh-CN" w:bidi="ar-SA"/>
        </w:rPr>
      </w:pPr>
      <w:r>
        <w:rPr>
          <w:rFonts w:hint="eastAsia" w:ascii="Arial" w:hAnsi="Arial" w:eastAsia="宋体" w:cs="Arial"/>
          <w:color w:val="222222"/>
          <w:sz w:val="22"/>
          <w:szCs w:val="22"/>
          <w:highlight w:val="none"/>
          <w:lang w:val="en-US" w:eastAsia="zh-CN" w:bidi="ar-SA"/>
        </w:rPr>
        <w:t>La durée sociale：du 07/08/2025</w:t>
      </w:r>
      <w:r>
        <w:rPr>
          <w:rFonts w:hint="default" w:ascii="Arial" w:hAnsi="Arial" w:eastAsia="宋体" w:cs="Arial"/>
          <w:color w:val="222222"/>
          <w:sz w:val="22"/>
          <w:szCs w:val="22"/>
          <w:highlight w:val="none"/>
          <w:lang w:val="fr-BE" w:eastAsia="zh-CN" w:bidi="ar-SA"/>
        </w:rPr>
        <w:t>à</w:t>
      </w:r>
      <w:r>
        <w:rPr>
          <w:rFonts w:hint="eastAsia" w:ascii="Arial" w:hAnsi="Arial" w:eastAsia="宋体" w:cs="Arial"/>
          <w:color w:val="222222"/>
          <w:sz w:val="22"/>
          <w:szCs w:val="22"/>
          <w:highlight w:val="none"/>
          <w:lang w:val="en-US" w:eastAsia="zh-CN" w:bidi="ar-SA"/>
        </w:rPr>
        <w:t xml:space="preserve"> </w:t>
      </w:r>
      <w:r>
        <w:rPr>
          <w:rFonts w:hint="default" w:ascii="Arial" w:hAnsi="Arial" w:eastAsia="宋体" w:cs="Arial"/>
          <w:color w:val="222222"/>
          <w:sz w:val="22"/>
          <w:szCs w:val="22"/>
          <w:highlight w:val="none"/>
          <w:lang w:val="fr-FR" w:eastAsia="zh-CN" w:bidi="ar-SA"/>
        </w:rPr>
        <w:t>long terme</w:t>
      </w:r>
    </w:p>
    <w:p w14:paraId="54DF505A">
      <w:pPr>
        <w:rPr>
          <w:rFonts w:hint="default" w:ascii="Arial" w:hAnsi="Arial" w:eastAsia="宋体" w:cs="Arial"/>
          <w:color w:val="222222"/>
          <w:sz w:val="22"/>
          <w:szCs w:val="22"/>
          <w:highlight w:val="none"/>
          <w:lang w:val="fr-FR" w:eastAsia="zh-CN" w:bidi="ar-SA"/>
        </w:rPr>
      </w:pPr>
    </w:p>
    <w:p w14:paraId="6EC7EC0F">
      <w:pPr>
        <w:rPr>
          <w:rFonts w:hint="eastAsia" w:ascii="Arial" w:hAnsi="Arial" w:eastAsia="宋体" w:cs="Arial"/>
          <w:color w:val="222222"/>
          <w:sz w:val="22"/>
          <w:szCs w:val="22"/>
          <w:highlight w:val="none"/>
          <w:lang w:val="en-US" w:eastAsia="zh-CN" w:bidi="ar-SA"/>
        </w:rPr>
      </w:pPr>
      <w:r>
        <w:rPr>
          <w:rStyle w:val="10"/>
          <w:rFonts w:ascii="Arial" w:hAnsi="Arial" w:cs="Arial"/>
          <w:color w:val="222222"/>
          <w:highlight w:val="none"/>
        </w:rPr>
        <w:t xml:space="preserve">Article 6 </w:t>
      </w:r>
      <w:bookmarkStart w:id="0" w:name="_Hlk524116794"/>
      <w:r>
        <w:rPr>
          <w:rFonts w:ascii="Arial" w:hAnsi="Arial" w:eastAsia="等线" w:cs="Arial"/>
          <w:highlight w:val="none"/>
        </w:rPr>
        <w:t xml:space="preserve"> - Objet </w:t>
      </w:r>
    </w:p>
    <w:p w14:paraId="3B9609DD">
      <w:pPr>
        <w:rPr>
          <w:rFonts w:hint="eastAsia" w:ascii="Arial" w:hAnsi="Arial" w:eastAsia="宋体" w:cs="Arial"/>
          <w:color w:val="222222"/>
          <w:sz w:val="22"/>
          <w:szCs w:val="22"/>
          <w:highlight w:val="none"/>
          <w:lang w:val="fr-FR" w:eastAsia="zh-CN" w:bidi="ar-SA"/>
        </w:rPr>
      </w:pPr>
      <w:r>
        <w:rPr>
          <w:rFonts w:hint="eastAsia" w:ascii="Arial" w:hAnsi="Arial" w:eastAsia="宋体" w:cs="Arial"/>
          <w:color w:val="222222"/>
          <w:sz w:val="22"/>
          <w:szCs w:val="22"/>
          <w:highlight w:val="none"/>
          <w:lang w:val="en-US" w:eastAsia="zh-CN" w:bidi="ar-SA"/>
        </w:rPr>
        <w:t xml:space="preserve">La société a pour objet  </w:t>
      </w:r>
      <w:r>
        <w:rPr>
          <w:rFonts w:hint="eastAsia" w:ascii="Arial" w:hAnsi="Arial" w:eastAsia="宋体" w:cs="Arial"/>
          <w:color w:val="222222"/>
          <w:sz w:val="22"/>
          <w:szCs w:val="22"/>
          <w:highlight w:val="none"/>
          <w:lang w:val="en-US" w:eastAsia="zh-TW" w:bidi="ar-SA"/>
        </w:rPr>
        <w:t>:</w:t>
      </w:r>
      <w:bookmarkEnd w:id="0"/>
      <w:r>
        <w:rPr>
          <w:rFonts w:hint="eastAsia" w:ascii="Arial" w:hAnsi="Arial" w:eastAsia="宋体" w:cs="Arial"/>
          <w:color w:val="222222"/>
          <w:sz w:val="22"/>
          <w:szCs w:val="22"/>
          <w:highlight w:val="none"/>
          <w:lang w:val="en-US" w:eastAsia="zh-CN" w:bidi="ar-SA"/>
        </w:rPr>
        <w:t xml:space="preserve"> Vente à distance sur catalogue général.</w:t>
      </w:r>
    </w:p>
    <w:p w14:paraId="4086714C">
      <w:pPr>
        <w:rPr>
          <w:rStyle w:val="10"/>
          <w:rFonts w:ascii="Arial" w:hAnsi="Arial" w:cs="Arial"/>
          <w:color w:val="222222"/>
          <w:sz w:val="21"/>
          <w:highlight w:val="none"/>
          <w:lang w:eastAsia="zh-TW"/>
        </w:rPr>
      </w:pPr>
    </w:p>
    <w:p w14:paraId="06C43572">
      <w:pPr>
        <w:rPr>
          <w:rStyle w:val="10"/>
          <w:rFonts w:ascii="Arial" w:hAnsi="Arial" w:cs="Arial"/>
          <w:color w:val="222222"/>
          <w:highlight w:val="none"/>
        </w:rPr>
      </w:pPr>
      <w:r>
        <w:rPr>
          <w:rFonts w:hint="eastAsia" w:ascii="Arial" w:hAnsi="Arial" w:eastAsia="等线" w:cs="Arial"/>
          <w:highlight w:val="none"/>
          <w:lang w:val="en-US" w:eastAsia="zh-CN"/>
        </w:rPr>
        <w:t xml:space="preserve"> </w:t>
      </w:r>
      <w:r>
        <w:rPr>
          <w:rFonts w:hint="eastAsia" w:cs="Arial"/>
          <w:color w:val="auto"/>
          <w:sz w:val="24"/>
          <w:szCs w:val="24"/>
          <w:highlight w:val="none"/>
        </w:rPr>
        <w:t xml:space="preserve"> </w:t>
      </w:r>
      <w:r>
        <w:rPr>
          <w:rStyle w:val="10"/>
          <w:rFonts w:ascii="Arial" w:hAnsi="Arial" w:cs="Arial"/>
          <w:color w:val="222222"/>
          <w:highlight w:val="none"/>
        </w:rPr>
        <w:t>Article 7</w:t>
      </w:r>
    </w:p>
    <w:p w14:paraId="51653E41">
      <w:pPr>
        <w:rPr>
          <w:rFonts w:ascii="Arial" w:hAnsi="Arial" w:cs="Arial"/>
          <w:color w:val="222222"/>
          <w:highlight w:val="none"/>
        </w:rPr>
      </w:pPr>
      <w:r>
        <w:rPr>
          <w:rFonts w:ascii="Arial" w:hAnsi="Arial" w:cs="Arial"/>
          <w:color w:val="222222"/>
          <w:highlight w:val="none"/>
        </w:rPr>
        <w:t>L'entreprise est une entité commerciale</w:t>
      </w:r>
      <w:r>
        <w:rPr>
          <w:rFonts w:hint="eastAsia" w:ascii="Arial" w:hAnsi="Arial" w:cs="Arial"/>
          <w:color w:val="222222"/>
          <w:highlight w:val="none"/>
          <w:lang w:val="en-US" w:eastAsia="zh-CN"/>
        </w:rPr>
        <w:t>.</w:t>
      </w:r>
      <w:r>
        <w:rPr>
          <w:rFonts w:ascii="Arial" w:hAnsi="Arial" w:cs="Arial"/>
          <w:color w:val="222222"/>
          <w:highlight w:val="none"/>
        </w:rPr>
        <w:t xml:space="preserve"> </w:t>
      </w:r>
      <w:r>
        <w:rPr>
          <w:rFonts w:hint="eastAsia" w:ascii="Arial" w:hAnsi="Arial" w:cs="Arial"/>
          <w:color w:val="222222"/>
          <w:highlight w:val="none"/>
          <w:lang w:val="en-US" w:eastAsia="zh-CN"/>
        </w:rPr>
        <w:t>L</w:t>
      </w:r>
      <w:r>
        <w:rPr>
          <w:rFonts w:ascii="Arial" w:hAnsi="Arial" w:cs="Arial"/>
          <w:color w:val="222222"/>
          <w:highlight w:val="none"/>
        </w:rPr>
        <w:t>'investisseur assume une responsabilité limitée pour la dette de l'entreprise avec ses biens personnels.</w:t>
      </w:r>
    </w:p>
    <w:p w14:paraId="6DDAD6EF">
      <w:pPr>
        <w:rPr>
          <w:rFonts w:ascii="Arial" w:hAnsi="Arial" w:cs="Arial"/>
          <w:color w:val="222222"/>
          <w:highlight w:val="none"/>
          <w:lang w:eastAsia="zh-TW"/>
        </w:rPr>
      </w:pPr>
    </w:p>
    <w:p w14:paraId="71D3F130">
      <w:pPr>
        <w:rPr>
          <w:rFonts w:ascii="Arial" w:hAnsi="Arial" w:cs="Arial"/>
          <w:color w:val="222222"/>
          <w:highlight w:val="none"/>
          <w:lang w:eastAsia="zh-TW"/>
        </w:rPr>
      </w:pPr>
    </w:p>
    <w:p w14:paraId="0796EC74">
      <w:pPr>
        <w:rPr>
          <w:rFonts w:ascii="Arial" w:hAnsi="Arial" w:cs="Arial"/>
          <w:color w:val="222222"/>
          <w:highlight w:val="none"/>
        </w:rPr>
      </w:pPr>
      <w:r>
        <w:rPr>
          <w:rFonts w:ascii="Arial" w:hAnsi="Arial" w:cs="Arial"/>
          <w:color w:val="222222"/>
          <w:highlight w:val="none"/>
        </w:rPr>
        <w:t>Article 8</w:t>
      </w:r>
    </w:p>
    <w:p w14:paraId="287DA7BB">
      <w:pPr>
        <w:rPr>
          <w:rStyle w:val="10"/>
          <w:rFonts w:ascii="Arial" w:hAnsi="Arial" w:cs="Arial"/>
          <w:color w:val="222222"/>
          <w:highlight w:val="none"/>
        </w:rPr>
      </w:pPr>
      <w:r>
        <w:rPr>
          <w:rFonts w:ascii="Arial" w:hAnsi="Arial" w:cs="Arial"/>
          <w:color w:val="222222"/>
          <w:highlight w:val="none"/>
        </w:rPr>
        <w:t>L'entreprise exerce des activités commerciales dans le cadre de l'entreprise enregistrée.Toutes les activités sont conformes aux lois et règlements administratifs, respectent le principe de la bonne foi et ne doivent pas nuire à l'intérêt public et à ses obligations fiscales.</w:t>
      </w:r>
    </w:p>
    <w:p w14:paraId="69237E94">
      <w:pPr>
        <w:rPr>
          <w:rFonts w:ascii="Arial" w:hAnsi="Arial" w:cs="Arial"/>
          <w:color w:val="222222"/>
          <w:highlight w:val="none"/>
        </w:rPr>
      </w:pPr>
    </w:p>
    <w:p w14:paraId="02C370A1">
      <w:pPr>
        <w:jc w:val="center"/>
        <w:rPr>
          <w:rFonts w:ascii="Arial" w:hAnsi="Arial" w:cs="Arial"/>
          <w:color w:val="222222"/>
          <w:highlight w:val="none"/>
        </w:rPr>
      </w:pPr>
      <w:r>
        <w:rPr>
          <w:rFonts w:ascii="Arial" w:hAnsi="Arial" w:cs="Arial"/>
          <w:color w:val="222222"/>
          <w:highlight w:val="none"/>
        </w:rPr>
        <w:t>Chapitre - II Financement et apport en capital</w:t>
      </w:r>
    </w:p>
    <w:p w14:paraId="10E4CBE1">
      <w:pPr>
        <w:rPr>
          <w:rFonts w:ascii="Arial" w:hAnsi="Arial" w:cs="Arial"/>
          <w:color w:val="222222"/>
          <w:highlight w:val="none"/>
        </w:rPr>
      </w:pPr>
      <w:r>
        <w:rPr>
          <w:rFonts w:ascii="Arial" w:hAnsi="Arial" w:cs="Arial"/>
          <w:color w:val="222222"/>
          <w:highlight w:val="none"/>
        </w:rPr>
        <w:br w:type="textWrapping"/>
      </w:r>
      <w:r>
        <w:rPr>
          <w:rFonts w:ascii="Arial" w:hAnsi="Arial" w:cs="Arial"/>
          <w:color w:val="222222"/>
          <w:highlight w:val="none"/>
        </w:rPr>
        <w:t xml:space="preserve">Article 9 </w:t>
      </w:r>
    </w:p>
    <w:p w14:paraId="7EF03467">
      <w:pPr>
        <w:rPr>
          <w:rFonts w:hint="eastAsia" w:ascii="Arial" w:hAnsi="Arial" w:cs="Arial"/>
          <w:color w:val="auto"/>
          <w:highlight w:val="none"/>
          <w:lang w:val="en-US" w:eastAsia="zh-CN"/>
        </w:rPr>
      </w:pPr>
      <w:r>
        <w:rPr>
          <w:rFonts w:ascii="Arial" w:hAnsi="Arial" w:cs="Arial"/>
          <w:color w:val="222222"/>
          <w:highlight w:val="none"/>
        </w:rPr>
        <w:t>L'investisseur de cette entreprise est une personne physique et la contribution déclarée est de</w:t>
      </w:r>
      <w:r>
        <w:rPr>
          <w:rFonts w:ascii="Arial" w:hAnsi="Arial" w:cs="Arial"/>
          <w:color w:val="auto"/>
          <w:highlight w:val="none"/>
        </w:rPr>
        <w:t xml:space="preserve"> </w:t>
      </w:r>
      <w:r>
        <w:rPr>
          <w:rFonts w:hint="default" w:ascii="Arial" w:hAnsi="Arial" w:cs="Arial"/>
          <w:vertAlign w:val="baseline"/>
          <w:lang w:val="en-US" w:eastAsia="zh-CN"/>
        </w:rPr>
        <w:t>10000</w:t>
      </w:r>
      <w:r>
        <w:rPr>
          <w:rFonts w:hint="eastAsia" w:ascii="Arial" w:hAnsi="Arial" w:cs="Arial"/>
          <w:vertAlign w:val="baseline"/>
          <w:lang w:val="en-US" w:eastAsia="zh-CN"/>
        </w:rPr>
        <w:t xml:space="preserve"> </w:t>
      </w:r>
      <w:r>
        <w:rPr>
          <w:rFonts w:hint="eastAsia" w:ascii="Arial" w:hAnsi="Arial" w:cs="Arial"/>
          <w:color w:val="auto"/>
          <w:highlight w:val="none"/>
          <w:lang w:val="en-US" w:eastAsia="zh-CN"/>
        </w:rPr>
        <w:t>（</w:t>
      </w:r>
      <w:r>
        <w:rPr>
          <w:rFonts w:hint="eastAsia" w:ascii="Arial" w:hAnsi="Arial" w:cs="Arial"/>
          <w:vertAlign w:val="baseline"/>
          <w:lang w:val="en-US" w:eastAsia="zh-CN"/>
        </w:rPr>
        <w:t>FRF</w:t>
      </w:r>
      <w:bookmarkStart w:id="1" w:name="_GoBack"/>
      <w:bookmarkEnd w:id="1"/>
      <w:r>
        <w:rPr>
          <w:rFonts w:hint="eastAsia" w:ascii="Arial" w:hAnsi="Arial" w:cs="Arial"/>
          <w:color w:val="auto"/>
          <w:highlight w:val="none"/>
          <w:lang w:val="en-US" w:eastAsia="zh-CN"/>
        </w:rPr>
        <w:t>）</w:t>
      </w:r>
      <w:r>
        <w:rPr>
          <w:rFonts w:hint="eastAsia" w:ascii="Arial" w:hAnsi="Arial" w:eastAsia="宋体" w:cs="Arial"/>
          <w:i w:val="0"/>
          <w:caps w:val="0"/>
          <w:color w:val="auto"/>
          <w:spacing w:val="0"/>
          <w:sz w:val="19"/>
          <w:szCs w:val="19"/>
          <w:highlight w:val="none"/>
          <w:u w:val="none"/>
          <w:shd w:val="clear" w:fill="FFFFFF"/>
          <w:lang w:val="en-US" w:eastAsia="zh-CN"/>
        </w:rPr>
        <w:t xml:space="preserve"> </w:t>
      </w:r>
      <w:r>
        <w:rPr>
          <w:rFonts w:hint="eastAsia" w:ascii="Arial" w:hAnsi="Arial" w:cs="Arial"/>
          <w:color w:val="auto"/>
          <w:highlight w:val="none"/>
        </w:rPr>
        <w:t>,divisé en</w:t>
      </w:r>
      <w:r>
        <w:rPr>
          <w:rFonts w:hint="eastAsia" w:ascii="Arial" w:hAnsi="Arial" w:cs="Arial"/>
          <w:color w:val="auto"/>
          <w:highlight w:val="none"/>
          <w:lang w:val="en-US" w:eastAsia="zh-CN"/>
        </w:rPr>
        <w:t xml:space="preserve"> 1 actions d'une valeur nominale de </w:t>
      </w:r>
      <w:r>
        <w:rPr>
          <w:rFonts w:hint="default" w:ascii="Arial" w:hAnsi="Arial" w:cs="Arial"/>
          <w:vertAlign w:val="baseline"/>
          <w:lang w:val="en-US" w:eastAsia="zh-CN"/>
        </w:rPr>
        <w:t>10000</w:t>
      </w:r>
      <w:r>
        <w:rPr>
          <w:rFonts w:hint="eastAsia" w:ascii="Arial" w:hAnsi="Arial" w:cs="Arial"/>
          <w:color w:val="auto"/>
          <w:highlight w:val="none"/>
          <w:lang w:val="en-US" w:eastAsia="zh-CN"/>
        </w:rPr>
        <w:t xml:space="preserve"> chacune.</w:t>
      </w:r>
    </w:p>
    <w:p w14:paraId="44C9DA8D">
      <w:pPr>
        <w:rPr>
          <w:rFonts w:hint="eastAsia" w:ascii="Arial" w:hAnsi="Arial" w:cs="Arial"/>
          <w:color w:val="222222"/>
          <w:highlight w:val="none"/>
          <w:lang w:val="en-US" w:eastAsia="zh-CN"/>
        </w:rPr>
      </w:pPr>
      <w:r>
        <w:rPr>
          <w:rFonts w:hint="eastAsia" w:ascii="Arial" w:hAnsi="Arial" w:cs="Arial"/>
          <w:color w:val="auto"/>
          <w:highlight w:val="none"/>
        </w:rPr>
        <w:t xml:space="preserve">L'investissement de </w:t>
      </w:r>
      <w:r>
        <w:rPr>
          <w:rFonts w:hint="eastAsia" w:ascii="Arial" w:hAnsi="Arial" w:cs="Arial"/>
          <w:color w:val="auto"/>
          <w:sz w:val="22"/>
          <w:szCs w:val="22"/>
          <w:highlight w:val="none"/>
          <w:lang w:val="en-US" w:eastAsia="zh-CN" w:bidi="ar-SA"/>
        </w:rPr>
        <w:t>Caixiu Zhong</w:t>
      </w:r>
      <w:r>
        <w:rPr>
          <w:rFonts w:hint="eastAsia" w:ascii="Arial" w:hAnsi="Arial" w:cs="Arial"/>
          <w:color w:val="auto"/>
          <w:highlight w:val="none"/>
        </w:rPr>
        <w:t xml:space="preserve"> re</w:t>
      </w:r>
      <w:r>
        <w:rPr>
          <w:rFonts w:hint="eastAsia" w:ascii="Arial" w:hAnsi="Arial" w:cs="Arial"/>
          <w:color w:val="222222"/>
          <w:highlight w:val="none"/>
        </w:rPr>
        <w:t>présente 100% du capital social total</w:t>
      </w:r>
      <w:r>
        <w:rPr>
          <w:rFonts w:hint="eastAsia" w:ascii="Arial" w:hAnsi="Arial" w:cs="Arial"/>
          <w:color w:val="222222"/>
          <w:highlight w:val="none"/>
          <w:lang w:val="en-US" w:eastAsia="zh-CN"/>
        </w:rPr>
        <w:t>.</w:t>
      </w:r>
    </w:p>
    <w:p w14:paraId="00E03DF4">
      <w:pPr>
        <w:rPr>
          <w:rFonts w:ascii="Arial" w:hAnsi="Arial" w:cs="Arial"/>
          <w:color w:val="222222"/>
          <w:highlight w:val="none"/>
        </w:rPr>
      </w:pPr>
      <w:r>
        <w:rPr>
          <w:rFonts w:ascii="Arial" w:hAnsi="Arial" w:cs="Arial"/>
          <w:color w:val="222222"/>
          <w:highlight w:val="none"/>
        </w:rPr>
        <w:br w:type="textWrapping"/>
      </w:r>
      <w:r>
        <w:rPr>
          <w:rFonts w:ascii="Arial" w:hAnsi="Arial" w:cs="Arial"/>
          <w:color w:val="222222"/>
          <w:highlight w:val="none"/>
        </w:rPr>
        <w:t>Chapitre III - Système financier, comptable et salarial</w:t>
      </w:r>
    </w:p>
    <w:p w14:paraId="23EC348B">
      <w:pPr>
        <w:rPr>
          <w:rFonts w:ascii="Arial" w:hAnsi="Arial" w:cs="Arial"/>
          <w:color w:val="222222"/>
          <w:highlight w:val="none"/>
        </w:rPr>
      </w:pPr>
      <w:r>
        <w:rPr>
          <w:rFonts w:ascii="Arial" w:hAnsi="Arial" w:cs="Arial"/>
          <w:color w:val="222222"/>
          <w:highlight w:val="none"/>
        </w:rPr>
        <w:br w:type="textWrapping"/>
      </w:r>
      <w:r>
        <w:rPr>
          <w:rFonts w:ascii="Arial" w:hAnsi="Arial" w:cs="Arial"/>
          <w:color w:val="222222"/>
          <w:highlight w:val="none"/>
        </w:rPr>
        <w:t>Article 10</w:t>
      </w:r>
    </w:p>
    <w:p w14:paraId="5987BF09">
      <w:pPr>
        <w:rPr>
          <w:rFonts w:ascii="Arial" w:hAnsi="Arial" w:cs="Arial"/>
          <w:color w:val="222222"/>
          <w:highlight w:val="none"/>
        </w:rPr>
      </w:pPr>
      <w:r>
        <w:rPr>
          <w:rFonts w:ascii="Arial" w:hAnsi="Arial" w:cs="Arial"/>
          <w:color w:val="222222"/>
          <w:highlight w:val="none"/>
        </w:rPr>
        <w:t>L'entreprise élabore des systèmes financiers et comptables conformes aux lois et règlements pertinents de l'État et établit des livres comptables conformément à la loi pour effectuer des calculs comptables.</w:t>
      </w:r>
    </w:p>
    <w:p w14:paraId="13FA31EE">
      <w:pPr>
        <w:rPr>
          <w:rFonts w:ascii="Arial" w:hAnsi="Arial" w:cs="Arial"/>
          <w:color w:val="222222"/>
          <w:highlight w:val="none"/>
        </w:rPr>
      </w:pPr>
      <w:r>
        <w:rPr>
          <w:rFonts w:ascii="Arial" w:hAnsi="Arial" w:cs="Arial"/>
          <w:color w:val="222222"/>
          <w:highlight w:val="none"/>
        </w:rPr>
        <w:t xml:space="preserve">Article 11 </w:t>
      </w:r>
    </w:p>
    <w:p w14:paraId="3E955644">
      <w:pPr>
        <w:rPr>
          <w:rFonts w:ascii="Arial" w:hAnsi="Arial" w:cs="Arial"/>
          <w:color w:val="222222"/>
          <w:highlight w:val="none"/>
        </w:rPr>
      </w:pPr>
      <w:r>
        <w:rPr>
          <w:rFonts w:ascii="Arial" w:hAnsi="Arial" w:cs="Arial"/>
          <w:color w:val="222222"/>
          <w:highlight w:val="none"/>
        </w:rPr>
        <w:t>L'année fiscale de l'entreprise adopte le système de l'année civile, qui est un exercice du 1er janvier au 31 décembre de l'année en cours.</w:t>
      </w:r>
    </w:p>
    <w:p w14:paraId="0C504D6D">
      <w:pPr>
        <w:rPr>
          <w:rFonts w:ascii="Arial" w:hAnsi="Arial" w:cs="Arial"/>
          <w:color w:val="222222"/>
          <w:highlight w:val="none"/>
        </w:rPr>
      </w:pPr>
      <w:r>
        <w:rPr>
          <w:rFonts w:ascii="Arial" w:hAnsi="Arial" w:cs="Arial"/>
          <w:color w:val="222222"/>
          <w:highlight w:val="none"/>
        </w:rPr>
        <w:br w:type="textWrapping"/>
      </w:r>
      <w:r>
        <w:rPr>
          <w:rFonts w:ascii="Arial" w:hAnsi="Arial" w:cs="Arial"/>
          <w:color w:val="222222"/>
          <w:highlight w:val="none"/>
        </w:rPr>
        <w:t xml:space="preserve">Article 12 </w:t>
      </w:r>
    </w:p>
    <w:p w14:paraId="769CA702">
      <w:pPr>
        <w:rPr>
          <w:rFonts w:ascii="Arial" w:hAnsi="Arial" w:cs="Arial"/>
          <w:color w:val="222222"/>
          <w:highlight w:val="none"/>
        </w:rPr>
      </w:pPr>
      <w:r>
        <w:rPr>
          <w:rFonts w:ascii="Arial" w:hAnsi="Arial" w:cs="Arial"/>
          <w:color w:val="222222"/>
          <w:highlight w:val="none"/>
        </w:rPr>
        <w:t>Si l'entreprise recrute des employés, elle doit signer des contrats de travail avec les employés conformément à la loi, garantir la sécurité des employés, payer à temps et intégralement les salaires des employés, participer aux assurances sociales et payer des primes d'assurance sociale.</w:t>
      </w:r>
    </w:p>
    <w:p w14:paraId="04F592BF">
      <w:pPr>
        <w:jc w:val="center"/>
        <w:rPr>
          <w:rFonts w:ascii="Arial" w:hAnsi="Arial" w:cs="Arial"/>
          <w:color w:val="222222"/>
          <w:highlight w:val="none"/>
        </w:rPr>
      </w:pPr>
      <w:r>
        <w:rPr>
          <w:rFonts w:ascii="Arial" w:hAnsi="Arial" w:cs="Arial"/>
          <w:color w:val="222222"/>
          <w:highlight w:val="none"/>
        </w:rPr>
        <w:br w:type="textWrapping"/>
      </w:r>
    </w:p>
    <w:p w14:paraId="600011D0">
      <w:pPr>
        <w:jc w:val="center"/>
        <w:rPr>
          <w:rFonts w:ascii="Arial" w:hAnsi="Arial" w:cs="Arial"/>
          <w:color w:val="222222"/>
          <w:highlight w:val="none"/>
        </w:rPr>
      </w:pPr>
      <w:r>
        <w:rPr>
          <w:rFonts w:ascii="Arial" w:hAnsi="Arial" w:cs="Arial"/>
          <w:color w:val="222222"/>
          <w:highlight w:val="none"/>
        </w:rPr>
        <w:t>Chapitre - IV Dissolution et liquidation des entreprises</w:t>
      </w:r>
    </w:p>
    <w:p w14:paraId="6245B47D">
      <w:pPr>
        <w:jc w:val="center"/>
        <w:rPr>
          <w:rFonts w:ascii="Arial" w:hAnsi="Arial" w:cs="Arial"/>
          <w:color w:val="222222"/>
          <w:highlight w:val="none"/>
        </w:rPr>
      </w:pPr>
    </w:p>
    <w:p w14:paraId="09C53250">
      <w:pPr>
        <w:rPr>
          <w:rFonts w:ascii="Arial" w:hAnsi="Arial" w:cs="Arial"/>
          <w:color w:val="222222"/>
          <w:highlight w:val="none"/>
        </w:rPr>
      </w:pPr>
      <w:r>
        <w:rPr>
          <w:rFonts w:ascii="Arial" w:hAnsi="Arial" w:cs="Arial"/>
          <w:color w:val="222222"/>
          <w:highlight w:val="none"/>
        </w:rPr>
        <w:t xml:space="preserve">Article 13 </w:t>
      </w:r>
    </w:p>
    <w:p w14:paraId="12FB0CC0">
      <w:pPr>
        <w:rPr>
          <w:rFonts w:hint="default" w:ascii="Arial" w:hAnsi="Arial" w:cs="Arial"/>
          <w:color w:val="FF0000"/>
          <w:sz w:val="22"/>
          <w:szCs w:val="22"/>
          <w:highlight w:val="none"/>
          <w:lang w:val="en-US"/>
        </w:rPr>
      </w:pPr>
      <w:r>
        <w:rPr>
          <w:rFonts w:ascii="Arial" w:hAnsi="Arial" w:cs="Arial"/>
          <w:color w:val="222222"/>
          <w:highlight w:val="none"/>
        </w:rPr>
        <w:t xml:space="preserve">La date de création de l’entreprise </w:t>
      </w:r>
      <w:r>
        <w:rPr>
          <w:rFonts w:hint="eastAsia" w:ascii="Arial" w:hAnsi="Arial" w:cs="Arial"/>
          <w:color w:val="222222"/>
          <w:highlight w:val="none"/>
          <w:lang w:val="en-US" w:eastAsia="zh-CN"/>
        </w:rPr>
        <w:t xml:space="preserve">est </w:t>
      </w:r>
      <w:r>
        <w:rPr>
          <w:rFonts w:ascii="Arial" w:hAnsi="Arial" w:cs="Arial"/>
          <w:color w:val="222222"/>
          <w:highlight w:val="none"/>
        </w:rPr>
        <w:t>le</w:t>
      </w:r>
      <w:r>
        <w:rPr>
          <w:rFonts w:hint="eastAsia" w:ascii="Arial" w:hAnsi="Arial" w:cs="Arial"/>
          <w:color w:val="222222"/>
          <w:sz w:val="22"/>
          <w:szCs w:val="22"/>
          <w:highlight w:val="none"/>
          <w:lang w:val="en-US" w:eastAsia="zh-CN"/>
        </w:rPr>
        <w:t xml:space="preserve"> 07/08/2025</w:t>
      </w:r>
    </w:p>
    <w:p w14:paraId="211818D9">
      <w:pPr>
        <w:rPr>
          <w:rFonts w:ascii="Arial" w:hAnsi="Arial" w:cs="Arial"/>
          <w:color w:val="222222"/>
          <w:highlight w:val="none"/>
        </w:rPr>
      </w:pPr>
    </w:p>
    <w:p w14:paraId="5CE739A3">
      <w:pPr>
        <w:rPr>
          <w:rFonts w:ascii="Arial" w:hAnsi="Arial" w:cs="Arial"/>
          <w:color w:val="222222"/>
          <w:highlight w:val="none"/>
        </w:rPr>
      </w:pPr>
      <w:r>
        <w:rPr>
          <w:rFonts w:ascii="Arial" w:hAnsi="Arial" w:cs="Arial"/>
          <w:color w:val="222222"/>
          <w:highlight w:val="none"/>
        </w:rPr>
        <w:t>Article 14</w:t>
      </w:r>
    </w:p>
    <w:p w14:paraId="54AB7DD1">
      <w:pPr>
        <w:rPr>
          <w:rFonts w:ascii="Arial" w:hAnsi="Arial" w:cs="Arial"/>
          <w:color w:val="222222"/>
          <w:highlight w:val="none"/>
        </w:rPr>
      </w:pPr>
      <w:r>
        <w:rPr>
          <w:rFonts w:ascii="Arial" w:hAnsi="Arial" w:cs="Arial"/>
          <w:color w:val="222222"/>
          <w:highlight w:val="none"/>
        </w:rPr>
        <w:t>Une entreprise est dissoute lorsqu'elle a l'une des circonstances suivantes:</w:t>
      </w:r>
      <w:r>
        <w:rPr>
          <w:rFonts w:ascii="Arial" w:hAnsi="Arial" w:cs="Arial"/>
          <w:color w:val="222222"/>
          <w:highlight w:val="none"/>
        </w:rPr>
        <w:br w:type="textWrapping"/>
      </w:r>
      <w:r>
        <w:rPr>
          <w:rFonts w:ascii="Arial" w:hAnsi="Arial" w:cs="Arial"/>
          <w:color w:val="222222"/>
          <w:highlight w:val="none"/>
        </w:rPr>
        <w:t>(1) L’investisseur décide de se dissoudre;</w:t>
      </w:r>
      <w:r>
        <w:rPr>
          <w:rFonts w:ascii="Arial" w:hAnsi="Arial" w:cs="Arial"/>
          <w:color w:val="222222"/>
          <w:highlight w:val="none"/>
        </w:rPr>
        <w:br w:type="textWrapping"/>
      </w:r>
      <w:r>
        <w:rPr>
          <w:rFonts w:ascii="Arial" w:hAnsi="Arial" w:cs="Arial"/>
          <w:color w:val="222222"/>
          <w:highlight w:val="none"/>
        </w:rPr>
        <w:t>(2) L’investisseur meurt ou est déclaré mort et aucun héritier ou héritier ne décide de renoncer à l’héritage;</w:t>
      </w:r>
    </w:p>
    <w:p w14:paraId="749B68A0">
      <w:pPr>
        <w:rPr>
          <w:rFonts w:ascii="Arial" w:hAnsi="Arial" w:cs="Arial"/>
          <w:color w:val="222222"/>
          <w:highlight w:val="none"/>
        </w:rPr>
      </w:pPr>
      <w:r>
        <w:rPr>
          <w:rFonts w:hint="eastAsia" w:ascii="Arial" w:hAnsi="Arial" w:cs="Arial"/>
          <w:color w:val="222222"/>
          <w:highlight w:val="none"/>
          <w:lang w:eastAsia="zh-TW"/>
        </w:rPr>
        <w:t>(</w:t>
      </w:r>
      <w:r>
        <w:rPr>
          <w:rFonts w:ascii="Arial" w:hAnsi="Arial" w:cs="Arial"/>
          <w:color w:val="222222"/>
          <w:highlight w:val="none"/>
        </w:rPr>
        <w:t>3) la licence commerciale est révoquée conformément à la loi;</w:t>
      </w:r>
      <w:r>
        <w:rPr>
          <w:rFonts w:ascii="Arial" w:hAnsi="Arial" w:cs="Arial"/>
          <w:color w:val="222222"/>
          <w:highlight w:val="none"/>
        </w:rPr>
        <w:br w:type="textWrapping"/>
      </w:r>
      <w:r>
        <w:rPr>
          <w:rFonts w:ascii="Arial" w:hAnsi="Arial" w:cs="Arial"/>
          <w:color w:val="222222"/>
          <w:highlight w:val="none"/>
        </w:rPr>
        <w:t>(4) Autres circonstances prévues par les lois et règlements administratifs.</w:t>
      </w:r>
      <w:r>
        <w:rPr>
          <w:rFonts w:ascii="Arial" w:hAnsi="Arial" w:cs="Arial"/>
          <w:color w:val="222222"/>
          <w:highlight w:val="none"/>
        </w:rPr>
        <w:br w:type="textWrapping"/>
      </w:r>
    </w:p>
    <w:p w14:paraId="0C685702">
      <w:pPr>
        <w:rPr>
          <w:rFonts w:ascii="Arial" w:hAnsi="Arial" w:cs="Arial"/>
          <w:color w:val="222222"/>
          <w:highlight w:val="none"/>
        </w:rPr>
      </w:pPr>
      <w:r>
        <w:rPr>
          <w:rFonts w:ascii="Arial" w:hAnsi="Arial" w:cs="Arial"/>
          <w:color w:val="222222"/>
          <w:highlight w:val="none"/>
        </w:rPr>
        <w:t>Article 15</w:t>
      </w:r>
    </w:p>
    <w:p w14:paraId="4A87FE4F">
      <w:pPr>
        <w:rPr>
          <w:rFonts w:ascii="Arial" w:hAnsi="Arial" w:cs="Arial"/>
          <w:color w:val="222222"/>
          <w:highlight w:val="none"/>
        </w:rPr>
      </w:pPr>
      <w:r>
        <w:rPr>
          <w:rFonts w:ascii="Arial" w:hAnsi="Arial" w:cs="Arial"/>
          <w:color w:val="222222"/>
          <w:highlight w:val="none"/>
        </w:rPr>
        <w:t>Si une entreprise est dissoute, l'investisseur doit la liquider seule ou le créancier doit demander au tribunal populaire de désigner le liquidateur pour liquidation. Lorsqu'un investisseur s'auto-liquide, il en avise le créancier par écrit dans les 15 jours précédant la liquidation et, s'il est dans l'impossibilité de le notifier, il fait une annonce. Le créancier doit, dans les 30 jours de la date de réception de l'avis, déclarer le droit du créancier à l'investisseur dans un délai de 60 jours à compter de la date de l'annonce sans avoir reçu l'avis.</w:t>
      </w:r>
    </w:p>
    <w:p w14:paraId="3B66307E">
      <w:pPr>
        <w:rPr>
          <w:rFonts w:ascii="Arial" w:hAnsi="Arial" w:cs="Arial"/>
          <w:color w:val="222222"/>
          <w:highlight w:val="none"/>
        </w:rPr>
      </w:pPr>
      <w:r>
        <w:rPr>
          <w:rFonts w:ascii="Arial" w:hAnsi="Arial" w:cs="Arial"/>
          <w:color w:val="222222"/>
          <w:highlight w:val="none"/>
        </w:rPr>
        <w:t>Article 16</w:t>
      </w:r>
    </w:p>
    <w:p w14:paraId="5A1AED06">
      <w:pPr>
        <w:rPr>
          <w:rFonts w:ascii="Arial" w:hAnsi="Arial" w:cs="Arial"/>
          <w:color w:val="222222"/>
          <w:highlight w:val="none"/>
        </w:rPr>
      </w:pPr>
      <w:r>
        <w:rPr>
          <w:rFonts w:ascii="Arial" w:hAnsi="Arial" w:cs="Arial"/>
          <w:color w:val="222222"/>
          <w:highlight w:val="none"/>
        </w:rPr>
        <w:t>Après la dissolution de l’entreprise, l’investisseur initial reste responsable du remboursement des dettes pendant l’existence de l’entreprise à propriétaire unique, mais si le créancier ne présente pas de demande de remboursement de la dette au débiteur dans les cinq ans, la responsabilité est éteinte.</w:t>
      </w:r>
      <w:r>
        <w:rPr>
          <w:rFonts w:ascii="Arial" w:hAnsi="Arial" w:cs="Arial"/>
          <w:color w:val="222222"/>
          <w:highlight w:val="none"/>
        </w:rPr>
        <w:br w:type="textWrapping"/>
      </w:r>
    </w:p>
    <w:p w14:paraId="17B5DB73">
      <w:pPr>
        <w:rPr>
          <w:rFonts w:ascii="Arial" w:hAnsi="Arial" w:cs="Arial"/>
          <w:color w:val="222222"/>
          <w:highlight w:val="none"/>
        </w:rPr>
      </w:pPr>
      <w:r>
        <w:rPr>
          <w:rFonts w:ascii="Arial" w:hAnsi="Arial" w:cs="Arial"/>
          <w:color w:val="222222"/>
          <w:highlight w:val="none"/>
        </w:rPr>
        <w:t xml:space="preserve">Article 17 </w:t>
      </w:r>
    </w:p>
    <w:p w14:paraId="04342E23">
      <w:pPr>
        <w:rPr>
          <w:rFonts w:ascii="Arial" w:hAnsi="Arial" w:cs="Arial"/>
          <w:color w:val="222222"/>
          <w:highlight w:val="none"/>
        </w:rPr>
      </w:pPr>
      <w:r>
        <w:rPr>
          <w:rFonts w:ascii="Arial" w:hAnsi="Arial" w:cs="Arial"/>
          <w:color w:val="222222"/>
          <w:highlight w:val="none"/>
        </w:rPr>
        <w:t>Lorsqu'une entreprise est dissoute, les biens sont remboursés dans l'ordre suivant:</w:t>
      </w:r>
    </w:p>
    <w:p w14:paraId="1C3208D1">
      <w:pPr>
        <w:pStyle w:val="11"/>
        <w:numPr>
          <w:ilvl w:val="0"/>
          <w:numId w:val="1"/>
        </w:numPr>
        <w:rPr>
          <w:rFonts w:ascii="Arial" w:hAnsi="Arial" w:cs="Arial"/>
          <w:color w:val="222222"/>
          <w:highlight w:val="none"/>
        </w:rPr>
      </w:pPr>
      <w:r>
        <w:rPr>
          <w:rFonts w:ascii="Arial" w:hAnsi="Arial" w:cs="Arial"/>
          <w:color w:val="222222"/>
          <w:highlight w:val="none"/>
        </w:rPr>
        <w:t>Salaires et charges sociales dus aux employés;</w:t>
      </w:r>
    </w:p>
    <w:p w14:paraId="6CB0E6E8">
      <w:pPr>
        <w:pStyle w:val="11"/>
        <w:numPr>
          <w:ilvl w:val="0"/>
          <w:numId w:val="1"/>
        </w:numPr>
        <w:rPr>
          <w:rFonts w:ascii="Arial" w:hAnsi="Arial" w:cs="Arial"/>
          <w:color w:val="222222"/>
          <w:highlight w:val="none"/>
        </w:rPr>
      </w:pPr>
      <w:r>
        <w:rPr>
          <w:rFonts w:ascii="Arial" w:hAnsi="Arial" w:cs="Arial"/>
          <w:color w:val="222222"/>
          <w:highlight w:val="none"/>
        </w:rPr>
        <w:t xml:space="preserve"> taxes dues;</w:t>
      </w:r>
    </w:p>
    <w:p w14:paraId="0E65A696">
      <w:pPr>
        <w:pStyle w:val="11"/>
        <w:numPr>
          <w:ilvl w:val="0"/>
          <w:numId w:val="1"/>
        </w:numPr>
        <w:rPr>
          <w:rFonts w:ascii="Arial" w:hAnsi="Arial" w:cs="Arial"/>
          <w:color w:val="222222"/>
          <w:highlight w:val="none"/>
        </w:rPr>
      </w:pPr>
      <w:r>
        <w:rPr>
          <w:rFonts w:ascii="Arial" w:hAnsi="Arial" w:cs="Arial"/>
          <w:color w:val="222222"/>
          <w:highlight w:val="none"/>
        </w:rPr>
        <w:t xml:space="preserve"> Autres dettes.</w:t>
      </w:r>
      <w:r>
        <w:rPr>
          <w:rFonts w:ascii="Arial" w:hAnsi="Arial" w:cs="Arial"/>
          <w:color w:val="222222"/>
          <w:highlight w:val="none"/>
        </w:rPr>
        <w:br w:type="textWrapping"/>
      </w:r>
    </w:p>
    <w:p w14:paraId="2F4AB634">
      <w:pPr>
        <w:rPr>
          <w:rFonts w:ascii="Arial" w:hAnsi="Arial" w:cs="Arial"/>
          <w:color w:val="222222"/>
          <w:highlight w:val="none"/>
        </w:rPr>
      </w:pPr>
      <w:r>
        <w:rPr>
          <w:rFonts w:ascii="Arial" w:hAnsi="Arial" w:cs="Arial"/>
          <w:color w:val="222222"/>
          <w:highlight w:val="none"/>
        </w:rPr>
        <w:t>Article 18</w:t>
      </w:r>
    </w:p>
    <w:p w14:paraId="7BF8A212">
      <w:pPr>
        <w:pStyle w:val="11"/>
        <w:numPr>
          <w:ilvl w:val="0"/>
          <w:numId w:val="0"/>
        </w:numPr>
        <w:ind w:left="360" w:leftChars="0"/>
        <w:rPr>
          <w:rFonts w:ascii="Arial" w:hAnsi="Arial" w:cs="Arial"/>
          <w:color w:val="222222"/>
          <w:highlight w:val="none"/>
        </w:rPr>
      </w:pPr>
      <w:r>
        <w:rPr>
          <w:rFonts w:ascii="Arial" w:hAnsi="Arial" w:cs="Arial"/>
          <w:color w:val="222222"/>
          <w:highlight w:val="none"/>
        </w:rPr>
        <w:t>Au cours de la période de liquidation, une entreprise ne peut exercer d’activités commerciales sans rapport avec l’objet de la liquidation. Les investisseurs ne peuvent transférer ou dissimuler des biens tant que les dettes ne sont pas réglées conformément aux dispositions de l'article précédent.</w:t>
      </w:r>
      <w:r>
        <w:rPr>
          <w:rFonts w:ascii="Arial" w:hAnsi="Arial" w:cs="Arial"/>
          <w:color w:val="222222"/>
          <w:highlight w:val="none"/>
        </w:rPr>
        <w:br w:type="textWrapping"/>
      </w:r>
    </w:p>
    <w:p w14:paraId="2C38AE24">
      <w:pPr>
        <w:pStyle w:val="11"/>
        <w:rPr>
          <w:rFonts w:ascii="Arial" w:hAnsi="Arial" w:cs="Arial"/>
          <w:color w:val="222222"/>
          <w:highlight w:val="none"/>
        </w:rPr>
      </w:pPr>
    </w:p>
    <w:p w14:paraId="27F58C3E">
      <w:pPr>
        <w:rPr>
          <w:rFonts w:ascii="Arial" w:hAnsi="Arial" w:cs="Arial"/>
          <w:color w:val="222222"/>
          <w:highlight w:val="none"/>
        </w:rPr>
      </w:pPr>
      <w:r>
        <w:rPr>
          <w:rFonts w:ascii="Arial" w:hAnsi="Arial" w:cs="Arial"/>
          <w:color w:val="222222"/>
          <w:highlight w:val="none"/>
        </w:rPr>
        <w:t>Article 19</w:t>
      </w:r>
    </w:p>
    <w:p w14:paraId="172B6357">
      <w:pPr>
        <w:pStyle w:val="11"/>
        <w:rPr>
          <w:rFonts w:ascii="Arial" w:hAnsi="Arial" w:cs="Arial"/>
          <w:color w:val="222222"/>
          <w:highlight w:val="none"/>
        </w:rPr>
      </w:pPr>
    </w:p>
    <w:p w14:paraId="5F94E949">
      <w:pPr>
        <w:rPr>
          <w:rFonts w:ascii="Arial" w:hAnsi="Arial" w:cs="Arial"/>
          <w:color w:val="222222"/>
          <w:highlight w:val="none"/>
        </w:rPr>
      </w:pPr>
      <w:r>
        <w:rPr>
          <w:rFonts w:ascii="Arial" w:hAnsi="Arial" w:cs="Arial"/>
          <w:color w:val="222222"/>
          <w:highlight w:val="none"/>
        </w:rPr>
        <w:t xml:space="preserve"> Lorsque les biens de l’entreprise sont insuffisants pour payer les dettes, l’investisseur doit rembourser les autres biens de l’individu.</w:t>
      </w:r>
    </w:p>
    <w:p w14:paraId="3D8A8933">
      <w:pPr>
        <w:pStyle w:val="11"/>
        <w:rPr>
          <w:rFonts w:ascii="Arial" w:hAnsi="Arial" w:cs="Arial"/>
          <w:color w:val="222222"/>
          <w:highlight w:val="none"/>
        </w:rPr>
      </w:pPr>
    </w:p>
    <w:p w14:paraId="7C31AE67">
      <w:pPr>
        <w:pStyle w:val="11"/>
        <w:rPr>
          <w:rFonts w:ascii="Arial" w:hAnsi="Arial" w:cs="Arial"/>
          <w:color w:val="222222"/>
          <w:highlight w:val="none"/>
        </w:rPr>
      </w:pPr>
    </w:p>
    <w:p w14:paraId="0939E191">
      <w:pPr>
        <w:rPr>
          <w:rFonts w:ascii="Arial" w:hAnsi="Arial" w:cs="Arial"/>
          <w:color w:val="222222"/>
          <w:highlight w:val="none"/>
        </w:rPr>
      </w:pPr>
      <w:r>
        <w:rPr>
          <w:rFonts w:ascii="Arial" w:hAnsi="Arial" w:cs="Arial"/>
          <w:color w:val="222222"/>
          <w:highlight w:val="none"/>
        </w:rPr>
        <w:t>Article 20</w:t>
      </w:r>
    </w:p>
    <w:p w14:paraId="2BDB948D">
      <w:pPr>
        <w:pStyle w:val="11"/>
        <w:rPr>
          <w:rFonts w:ascii="Arial" w:hAnsi="Arial" w:cs="Arial"/>
          <w:color w:val="222222"/>
          <w:highlight w:val="none"/>
        </w:rPr>
      </w:pPr>
    </w:p>
    <w:p w14:paraId="3694FF5E">
      <w:pPr>
        <w:rPr>
          <w:rFonts w:ascii="Arial" w:hAnsi="Arial" w:cs="Arial"/>
          <w:color w:val="222222"/>
          <w:highlight w:val="none"/>
        </w:rPr>
      </w:pPr>
      <w:r>
        <w:rPr>
          <w:rFonts w:ascii="Arial" w:hAnsi="Arial" w:cs="Arial"/>
          <w:color w:val="222222"/>
          <w:highlight w:val="none"/>
        </w:rPr>
        <w:t>Après la liquidation d'une entreprise, l'investisseur ou le liquidateur désigné par le tribunal populaire prépare un rapport de liquidation et s'adresse à l'autorité d'enregistrement pour annuler l'enregistrement dans les 15 jours.</w:t>
      </w:r>
      <w:r>
        <w:rPr>
          <w:rFonts w:ascii="Arial" w:hAnsi="Arial" w:cs="Arial"/>
          <w:color w:val="222222"/>
          <w:highlight w:val="none"/>
        </w:rPr>
        <w:br w:type="textWrapping"/>
      </w:r>
      <w:r>
        <w:rPr>
          <w:rFonts w:ascii="Arial" w:hAnsi="Arial" w:cs="Arial"/>
          <w:color w:val="222222"/>
          <w:highlight w:val="none"/>
        </w:rPr>
        <w:t>Chapitre V Dispositions complémentaires</w:t>
      </w:r>
      <w:r>
        <w:rPr>
          <w:rFonts w:ascii="Arial" w:hAnsi="Arial" w:cs="Arial"/>
          <w:color w:val="222222"/>
          <w:highlight w:val="none"/>
        </w:rPr>
        <w:br w:type="textWrapping"/>
      </w:r>
    </w:p>
    <w:p w14:paraId="7C92622A">
      <w:pPr>
        <w:rPr>
          <w:rFonts w:ascii="Arial" w:hAnsi="Arial" w:cs="Arial"/>
          <w:color w:val="222222"/>
          <w:highlight w:val="none"/>
        </w:rPr>
      </w:pPr>
      <w:r>
        <w:rPr>
          <w:rFonts w:ascii="Arial" w:hAnsi="Arial" w:cs="Arial"/>
          <w:color w:val="222222"/>
          <w:highlight w:val="none"/>
        </w:rPr>
        <w:t xml:space="preserve">Article 21 </w:t>
      </w:r>
    </w:p>
    <w:p w14:paraId="4A2FDCC4">
      <w:pPr>
        <w:pStyle w:val="11"/>
        <w:rPr>
          <w:rFonts w:ascii="Arial" w:hAnsi="Arial" w:cs="Arial"/>
          <w:color w:val="222222"/>
          <w:highlight w:val="none"/>
        </w:rPr>
      </w:pPr>
    </w:p>
    <w:p w14:paraId="1645A21C">
      <w:pPr>
        <w:rPr>
          <w:rFonts w:ascii="Arial" w:hAnsi="Arial" w:cs="Arial"/>
          <w:color w:val="222222"/>
          <w:highlight w:val="none"/>
        </w:rPr>
      </w:pPr>
      <w:r>
        <w:rPr>
          <w:rFonts w:ascii="Arial" w:hAnsi="Arial" w:cs="Arial"/>
          <w:color w:val="222222"/>
          <w:highlight w:val="none"/>
        </w:rPr>
        <w:t>Les statuts ne sont pas exhaustifs et doivent être traités conformément à la législation et à la réglementation pertinentes.</w:t>
      </w:r>
    </w:p>
    <w:p w14:paraId="37A6A7A4">
      <w:pPr>
        <w:pStyle w:val="11"/>
        <w:rPr>
          <w:rFonts w:ascii="Arial" w:hAnsi="Arial" w:cs="Arial"/>
          <w:color w:val="222222"/>
          <w:highlight w:val="none"/>
        </w:rPr>
      </w:pPr>
    </w:p>
    <w:p w14:paraId="3130F1B5">
      <w:pPr>
        <w:rPr>
          <w:rFonts w:ascii="Arial" w:hAnsi="Arial" w:cs="Arial"/>
          <w:color w:val="222222"/>
          <w:highlight w:val="none"/>
        </w:rPr>
      </w:pPr>
      <w:r>
        <w:rPr>
          <w:rFonts w:ascii="Arial" w:hAnsi="Arial" w:cs="Arial"/>
          <w:color w:val="222222"/>
          <w:highlight w:val="none"/>
        </w:rPr>
        <w:t xml:space="preserve">Article 22 </w:t>
      </w:r>
    </w:p>
    <w:p w14:paraId="5DE10C18">
      <w:pPr>
        <w:rPr>
          <w:rFonts w:ascii="Arial" w:hAnsi="Arial" w:cs="Arial"/>
          <w:color w:val="222222"/>
          <w:highlight w:val="none"/>
        </w:rPr>
      </w:pPr>
      <w:r>
        <w:rPr>
          <w:rFonts w:ascii="Arial" w:hAnsi="Arial" w:cs="Arial"/>
          <w:color w:val="222222"/>
          <w:highlight w:val="none"/>
        </w:rPr>
        <w:t>Les statuts doivent être soumis en double à l’autorité d’enregistrement et l’entreprise doit en déposer une copie.</w:t>
      </w:r>
    </w:p>
    <w:p w14:paraId="0B2608D4">
      <w:pPr>
        <w:pStyle w:val="11"/>
        <w:rPr>
          <w:rFonts w:ascii="Arial" w:hAnsi="Arial" w:cs="Arial"/>
          <w:color w:val="222222"/>
          <w:highlight w:val="none"/>
        </w:rPr>
      </w:pPr>
    </w:p>
    <w:p w14:paraId="63CA43CB">
      <w:pPr>
        <w:pStyle w:val="11"/>
        <w:rPr>
          <w:rFonts w:hint="default" w:ascii="Arial" w:hAnsi="Arial" w:cs="Arial" w:eastAsiaTheme="minorEastAsia"/>
          <w:color w:val="FF0000"/>
          <w:highlight w:val="none"/>
          <w:u w:val="single"/>
          <w:lang w:val="en-US" w:eastAsia="zh-CN"/>
        </w:rPr>
      </w:pPr>
      <w:r>
        <w:rPr>
          <w:rFonts w:ascii="Arial" w:hAnsi="Arial" w:cs="Arial"/>
          <w:color w:val="222222"/>
          <w:highlight w:val="none"/>
        </w:rPr>
        <w:br w:type="textWrapping"/>
      </w:r>
      <w:r>
        <w:rPr>
          <w:rFonts w:ascii="Arial" w:hAnsi="Arial" w:cs="Arial"/>
          <w:color w:val="222222"/>
          <w:highlight w:val="none"/>
        </w:rPr>
        <w:t>Signature de l'investisseur</w:t>
      </w:r>
      <w:r>
        <w:rPr>
          <w:rFonts w:hint="eastAsia" w:ascii="Arial" w:hAnsi="Arial" w:cs="Arial"/>
          <w:color w:val="auto"/>
          <w:highlight w:val="none"/>
          <w:lang w:eastAsia="zh-CN"/>
        </w:rPr>
        <w:t>：</w:t>
      </w:r>
      <w:r>
        <w:rPr>
          <w:rFonts w:hint="eastAsia" w:ascii="Arial" w:hAnsi="Arial" w:cs="Arial"/>
          <w:color w:val="auto"/>
          <w:highlight w:val="none"/>
          <w:lang w:val="en-US" w:eastAsia="zh-CN"/>
        </w:rPr>
        <w:t>Caixiu Zhong</w:t>
      </w:r>
      <w:r>
        <w:rPr>
          <w:rFonts w:ascii="Arial" w:hAnsi="Arial" w:cs="Arial"/>
          <w:color w:val="auto"/>
          <w:highlight w:val="none"/>
          <w:u w:val="single"/>
        </w:rPr>
        <w:br w:type="textWrapping"/>
      </w:r>
      <w:r>
        <w:rPr>
          <w:rFonts w:ascii="Arial" w:hAnsi="Arial" w:cs="Arial"/>
          <w:color w:val="auto"/>
          <w:highlight w:val="none"/>
        </w:rPr>
        <w:t>Date de constitution:</w:t>
      </w:r>
      <w:r>
        <w:rPr>
          <w:rFonts w:hint="eastAsia" w:ascii="Arial" w:hAnsi="Arial" w:cs="Arial"/>
          <w:color w:val="auto"/>
          <w:sz w:val="22"/>
          <w:szCs w:val="22"/>
          <w:highlight w:val="none"/>
          <w:u w:val="none"/>
          <w:lang w:val="en-US" w:eastAsia="zh-CN"/>
        </w:rPr>
        <w:t xml:space="preserve"> </w:t>
      </w:r>
      <w:r>
        <w:rPr>
          <w:rFonts w:hint="eastAsia" w:ascii="Arial" w:hAnsi="Arial" w:eastAsia="宋体" w:cs="Arial"/>
          <w:color w:val="222222"/>
          <w:sz w:val="22"/>
          <w:szCs w:val="22"/>
          <w:highlight w:val="none"/>
          <w:lang w:val="en-US" w:eastAsia="zh-CN" w:bidi="ar-SA"/>
        </w:rPr>
        <w:t>07/08/2025</w:t>
      </w:r>
    </w:p>
    <w:sectPr>
      <w:pgSz w:w="11906" w:h="16838"/>
      <w:pgMar w:top="1440" w:right="1800" w:bottom="1440" w:left="180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roman"/>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5B3673"/>
    <w:multiLevelType w:val="multilevel"/>
    <w:tmpl w:val="1E5B3673"/>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bordersDoNotSurroundHeader w:val="0"/>
  <w:bordersDoNotSurroundFooter w:val="0"/>
  <w:documentProtection w:enforcement="0"/>
  <w:defaultTabStop w:val="708"/>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useAltKinsokuLineBreakRules/>
    <w:compatSetting w:name="compatibilityMode" w:uri="http://schemas.microsoft.com/office/word" w:val="12"/>
  </w:compat>
  <w:docVars>
    <w:docVar w:name="commondata" w:val="eyJoZGlkIjoiMmFiYzg3OWI1MjVkNzZmMWI4ZWYyM2QxNWMyZGU4ZGMifQ=="/>
  </w:docVars>
  <w:rsids>
    <w:rsidRoot w:val="00434B72"/>
    <w:rsid w:val="00056A50"/>
    <w:rsid w:val="001F0EB5"/>
    <w:rsid w:val="00362001"/>
    <w:rsid w:val="00434B72"/>
    <w:rsid w:val="004D03CE"/>
    <w:rsid w:val="00516210"/>
    <w:rsid w:val="006617C1"/>
    <w:rsid w:val="0075325D"/>
    <w:rsid w:val="008263E6"/>
    <w:rsid w:val="008B4E11"/>
    <w:rsid w:val="009562D6"/>
    <w:rsid w:val="009B3479"/>
    <w:rsid w:val="00A27462"/>
    <w:rsid w:val="00AA1B8A"/>
    <w:rsid w:val="00AC5254"/>
    <w:rsid w:val="00AD541B"/>
    <w:rsid w:val="00AD5BC0"/>
    <w:rsid w:val="00B065F1"/>
    <w:rsid w:val="00B35182"/>
    <w:rsid w:val="00B845FD"/>
    <w:rsid w:val="00B847F5"/>
    <w:rsid w:val="00BA199D"/>
    <w:rsid w:val="00C40ACB"/>
    <w:rsid w:val="00C65646"/>
    <w:rsid w:val="00C67B57"/>
    <w:rsid w:val="00CA527B"/>
    <w:rsid w:val="00CC0CA0"/>
    <w:rsid w:val="00CF5280"/>
    <w:rsid w:val="00D21FDB"/>
    <w:rsid w:val="00D451F3"/>
    <w:rsid w:val="00E1549D"/>
    <w:rsid w:val="00E210CB"/>
    <w:rsid w:val="00EE4956"/>
    <w:rsid w:val="00FC672B"/>
    <w:rsid w:val="012977FF"/>
    <w:rsid w:val="01A82ECC"/>
    <w:rsid w:val="038573EE"/>
    <w:rsid w:val="05C915C2"/>
    <w:rsid w:val="06A253E1"/>
    <w:rsid w:val="06C13DCC"/>
    <w:rsid w:val="082A74C0"/>
    <w:rsid w:val="08346475"/>
    <w:rsid w:val="08AA2F12"/>
    <w:rsid w:val="08F4050A"/>
    <w:rsid w:val="09771B73"/>
    <w:rsid w:val="0B602276"/>
    <w:rsid w:val="0C446CEC"/>
    <w:rsid w:val="0DC55FDB"/>
    <w:rsid w:val="0DFB1278"/>
    <w:rsid w:val="0E890FCF"/>
    <w:rsid w:val="10EB188C"/>
    <w:rsid w:val="111E686C"/>
    <w:rsid w:val="11FA08BE"/>
    <w:rsid w:val="12677C09"/>
    <w:rsid w:val="13DA2CF1"/>
    <w:rsid w:val="143771ED"/>
    <w:rsid w:val="14AF1479"/>
    <w:rsid w:val="1567510F"/>
    <w:rsid w:val="15A660E9"/>
    <w:rsid w:val="15F35395"/>
    <w:rsid w:val="166604BC"/>
    <w:rsid w:val="18F55160"/>
    <w:rsid w:val="191B532F"/>
    <w:rsid w:val="1BD935E5"/>
    <w:rsid w:val="1BDB100E"/>
    <w:rsid w:val="1CB3587E"/>
    <w:rsid w:val="20211926"/>
    <w:rsid w:val="21091F11"/>
    <w:rsid w:val="22DD5675"/>
    <w:rsid w:val="2357595D"/>
    <w:rsid w:val="24EE7D9B"/>
    <w:rsid w:val="254E4396"/>
    <w:rsid w:val="25AE322E"/>
    <w:rsid w:val="2687496B"/>
    <w:rsid w:val="269E715A"/>
    <w:rsid w:val="26C85C4B"/>
    <w:rsid w:val="28883B68"/>
    <w:rsid w:val="29345167"/>
    <w:rsid w:val="29AA75E0"/>
    <w:rsid w:val="2A24228F"/>
    <w:rsid w:val="2A6B4C11"/>
    <w:rsid w:val="2C093843"/>
    <w:rsid w:val="2D096024"/>
    <w:rsid w:val="2E9751D7"/>
    <w:rsid w:val="307E4B7A"/>
    <w:rsid w:val="309317F7"/>
    <w:rsid w:val="34F731B6"/>
    <w:rsid w:val="36F67DC2"/>
    <w:rsid w:val="37DC3A83"/>
    <w:rsid w:val="392932AF"/>
    <w:rsid w:val="3D535380"/>
    <w:rsid w:val="3DE6565C"/>
    <w:rsid w:val="3DF651CD"/>
    <w:rsid w:val="3E3A171F"/>
    <w:rsid w:val="3FE55404"/>
    <w:rsid w:val="40B078C1"/>
    <w:rsid w:val="442166CB"/>
    <w:rsid w:val="474C2D2C"/>
    <w:rsid w:val="486C489A"/>
    <w:rsid w:val="49267254"/>
    <w:rsid w:val="4CBD6DDE"/>
    <w:rsid w:val="4D243AAB"/>
    <w:rsid w:val="4FBE43F7"/>
    <w:rsid w:val="4FCF116E"/>
    <w:rsid w:val="510D6B0A"/>
    <w:rsid w:val="52006306"/>
    <w:rsid w:val="526B5CD8"/>
    <w:rsid w:val="544F52F1"/>
    <w:rsid w:val="546D1D00"/>
    <w:rsid w:val="54F2253A"/>
    <w:rsid w:val="57103C49"/>
    <w:rsid w:val="574A0904"/>
    <w:rsid w:val="57816789"/>
    <w:rsid w:val="59242BDE"/>
    <w:rsid w:val="5A5372BC"/>
    <w:rsid w:val="5B304982"/>
    <w:rsid w:val="5B7136B0"/>
    <w:rsid w:val="5BF62AB6"/>
    <w:rsid w:val="5C502768"/>
    <w:rsid w:val="5C834FE7"/>
    <w:rsid w:val="5F2B1CB7"/>
    <w:rsid w:val="610343D6"/>
    <w:rsid w:val="661F7D07"/>
    <w:rsid w:val="66314AF1"/>
    <w:rsid w:val="6A462E5B"/>
    <w:rsid w:val="6ACA3A8C"/>
    <w:rsid w:val="6AFE3207"/>
    <w:rsid w:val="6B7256C5"/>
    <w:rsid w:val="6DE7490C"/>
    <w:rsid w:val="6EAB4077"/>
    <w:rsid w:val="6F467459"/>
    <w:rsid w:val="701B0935"/>
    <w:rsid w:val="73005B71"/>
    <w:rsid w:val="748C3427"/>
    <w:rsid w:val="74A013B9"/>
    <w:rsid w:val="771174B5"/>
    <w:rsid w:val="793370DB"/>
    <w:rsid w:val="7B2A6886"/>
    <w:rsid w:val="7B2F24F0"/>
    <w:rsid w:val="7B6E7368"/>
    <w:rsid w:val="7C1C3E8A"/>
    <w:rsid w:val="7F6811F8"/>
    <w:rsid w:val="7FD14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EastAsia" w:cstheme="minorBidi"/>
      <w:sz w:val="22"/>
      <w:szCs w:val="22"/>
      <w:lang w:val="fr-FR" w:eastAsia="zh-CN" w:bidi="ar-SA"/>
    </w:rPr>
  </w:style>
  <w:style w:type="paragraph" w:styleId="2">
    <w:name w:val="heading 1"/>
    <w:basedOn w:val="1"/>
    <w:next w:val="1"/>
    <w:autoRedefine/>
    <w:qFormat/>
    <w:uiPriority w:val="9"/>
    <w:pPr>
      <w:keepNext/>
      <w:keepLines/>
      <w:spacing w:before="340" w:beforeLines="0" w:beforeAutospacing="0" w:after="330" w:afterLines="0" w:afterAutospacing="0" w:line="576" w:lineRule="auto"/>
      <w:outlineLvl w:val="0"/>
    </w:pPr>
    <w:rPr>
      <w:b/>
      <w:kern w:val="44"/>
      <w:sz w:val="44"/>
    </w:rPr>
  </w:style>
  <w:style w:type="character" w:default="1" w:styleId="8">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3">
    <w:name w:val="footer"/>
    <w:basedOn w:val="1"/>
    <w:link w:val="13"/>
    <w:autoRedefine/>
    <w:unhideWhenUsed/>
    <w:qFormat/>
    <w:uiPriority w:val="99"/>
    <w:pPr>
      <w:tabs>
        <w:tab w:val="center" w:pos="4153"/>
        <w:tab w:val="right" w:pos="8306"/>
      </w:tabs>
      <w:spacing w:after="0" w:line="240" w:lineRule="auto"/>
    </w:pPr>
  </w:style>
  <w:style w:type="paragraph" w:styleId="4">
    <w:name w:val="header"/>
    <w:basedOn w:val="1"/>
    <w:link w:val="12"/>
    <w:autoRedefine/>
    <w:unhideWhenUsed/>
    <w:qFormat/>
    <w:uiPriority w:val="99"/>
    <w:pPr>
      <w:tabs>
        <w:tab w:val="center" w:pos="4153"/>
        <w:tab w:val="right" w:pos="8306"/>
      </w:tabs>
      <w:spacing w:after="0" w:line="240" w:lineRule="auto"/>
    </w:pPr>
  </w:style>
  <w:style w:type="paragraph" w:styleId="5">
    <w:name w:val="Normal (Web)"/>
    <w:basedOn w:val="1"/>
    <w:autoRedefine/>
    <w:semiHidden/>
    <w:unhideWhenUsed/>
    <w:qFormat/>
    <w:uiPriority w:val="99"/>
    <w:pPr>
      <w:spacing w:before="100" w:beforeAutospacing="1" w:after="100" w:afterAutospacing="1" w:line="240" w:lineRule="auto"/>
    </w:pPr>
    <w:rPr>
      <w:rFonts w:ascii="宋体" w:hAnsi="宋体" w:eastAsia="宋体" w:cs="宋体"/>
      <w:sz w:val="24"/>
      <w:szCs w:val="24"/>
      <w:lang w:val="en-US"/>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autoRedefine/>
    <w:unhideWhenUsed/>
    <w:qFormat/>
    <w:uiPriority w:val="99"/>
    <w:rPr>
      <w:color w:val="0563C1" w:themeColor="hyperlink"/>
      <w:u w:val="single"/>
    </w:rPr>
  </w:style>
  <w:style w:type="character" w:customStyle="1" w:styleId="10">
    <w:name w:val="short_text"/>
    <w:basedOn w:val="8"/>
    <w:qFormat/>
    <w:uiPriority w:val="0"/>
  </w:style>
  <w:style w:type="paragraph" w:styleId="11">
    <w:name w:val="List Paragraph"/>
    <w:basedOn w:val="1"/>
    <w:qFormat/>
    <w:uiPriority w:val="34"/>
    <w:pPr>
      <w:ind w:left="720"/>
      <w:contextualSpacing/>
    </w:pPr>
  </w:style>
  <w:style w:type="character" w:customStyle="1" w:styleId="12">
    <w:name w:val="页眉 Char"/>
    <w:basedOn w:val="8"/>
    <w:link w:val="4"/>
    <w:qFormat/>
    <w:uiPriority w:val="99"/>
  </w:style>
  <w:style w:type="character" w:customStyle="1" w:styleId="13">
    <w:name w:val="页脚 Char"/>
    <w:basedOn w:val="8"/>
    <w:link w:val="3"/>
    <w:qFormat/>
    <w:uiPriority w:val="99"/>
  </w:style>
  <w:style w:type="character" w:customStyle="1" w:styleId="14">
    <w:name w:val="ng-binding"/>
    <w:basedOn w:val="8"/>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733</Words>
  <Characters>4351</Characters>
  <Lines>39</Lines>
  <Paragraphs>11</Paragraphs>
  <TotalTime>80</TotalTime>
  <ScaleCrop>false</ScaleCrop>
  <LinksUpToDate>false</LinksUpToDate>
  <CharactersWithSpaces>5032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2018-09-25T02:51:00Z</dcterms:created>
  <dc:creator>CHUN LIN</dc:creator>
  <cp:lastModifiedBy>ade</cp:lastModifiedBy>
  <dcterms:modified xsi:type="dcterms:W3CDTF">2025-11-24T08:24:22Z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E658355BB5C4444A8DB230F8DB73CEFE</vt:lpwstr>
  </property>
  <property fmtid="{D5CDD505-2E9C-101B-9397-08002B2CF9AE}" pid="4" name="KSOTemplateDocerSaveRecord">
    <vt:lpwstr>eyJoZGlkIjoiMTc2Y2MzOWFhYjE2MmIzNjk3MjYxYzUyOWM2YzBiYmMiLCJ1c2VySWQiOiI4MzQyOTEwODUifQ==</vt:lpwstr>
  </property>
</Properties>
</file>