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3A8E5">
      <w:pPr>
        <w:pStyle w:val="3"/>
        <w:rPr>
          <w:rFonts w:ascii="Times New Roman"/>
          <w:sz w:val="20"/>
        </w:rPr>
      </w:pPr>
    </w:p>
    <w:p w14:paraId="64B3788D">
      <w:pPr>
        <w:pStyle w:val="3"/>
        <w:spacing w:before="10"/>
        <w:rPr>
          <w:rFonts w:ascii="Times New Roman"/>
          <w:sz w:val="20"/>
        </w:rPr>
      </w:pPr>
    </w:p>
    <w:p w14:paraId="179CEF11">
      <w:pPr>
        <w:spacing w:before="45"/>
        <w:ind w:left="2188" w:right="2186" w:firstLine="0"/>
        <w:jc w:val="center"/>
        <w:rPr>
          <w:b/>
          <w:sz w:val="28"/>
        </w:rPr>
      </w:pPr>
      <w:r>
        <w:rPr>
          <w:b/>
          <w:sz w:val="28"/>
        </w:rPr>
        <w:t>Vollmacht betreffend Elektrogeräte</w:t>
      </w:r>
    </w:p>
    <w:p w14:paraId="2C7603CC">
      <w:pPr>
        <w:pStyle w:val="3"/>
        <w:rPr>
          <w:b/>
          <w:sz w:val="28"/>
        </w:rPr>
      </w:pPr>
    </w:p>
    <w:p w14:paraId="13D76A50">
      <w:pPr>
        <w:pStyle w:val="3"/>
        <w:rPr>
          <w:b/>
          <w:sz w:val="28"/>
        </w:rPr>
      </w:pPr>
    </w:p>
    <w:p w14:paraId="13DD2144">
      <w:pPr>
        <w:pStyle w:val="3"/>
        <w:spacing w:before="4"/>
        <w:rPr>
          <w:b/>
          <w:sz w:val="32"/>
        </w:rPr>
      </w:pPr>
    </w:p>
    <w:p w14:paraId="532564E2">
      <w:pPr>
        <w:pStyle w:val="3"/>
        <w:ind w:left="120"/>
        <w:jc w:val="both"/>
      </w:pPr>
      <w:r>
        <w:t>abgeschlossen zwischen</w:t>
      </w:r>
    </w:p>
    <w:p w14:paraId="66A13DD6">
      <w:pPr>
        <w:pStyle w:val="3"/>
        <w:rPr>
          <w:sz w:val="31"/>
        </w:rPr>
      </w:pPr>
    </w:p>
    <w:p w14:paraId="0CF1B69E">
      <w:pPr>
        <w:pStyle w:val="2"/>
        <w:spacing w:before="1"/>
        <w:rPr>
          <w:rFonts w:hint="eastAsia" w:eastAsia="宋体"/>
          <w:highlight w:val="yellow"/>
          <w:lang w:eastAsia="zh-CN"/>
        </w:rPr>
      </w:pPr>
      <w:r>
        <w:rPr>
          <w:rFonts w:hint="eastAsia" w:eastAsia="宋体"/>
          <w:highlight w:val="yellow"/>
          <w:lang w:eastAsia="zh-CN"/>
        </w:rPr>
        <w:t>《</w:t>
      </w:r>
      <w:r>
        <w:rPr>
          <w:rFonts w:hint="eastAsia" w:eastAsia="宋体"/>
          <w:highlight w:val="yellow"/>
          <w:lang w:val="en-US" w:eastAsia="zh-CN"/>
        </w:rPr>
        <w:t>公司英文名</w:t>
      </w:r>
      <w:r>
        <w:rPr>
          <w:rFonts w:hint="eastAsia" w:eastAsia="宋体"/>
          <w:highlight w:val="yellow"/>
          <w:lang w:eastAsia="zh-CN"/>
        </w:rPr>
        <w:t>》</w:t>
      </w:r>
    </w:p>
    <w:p w14:paraId="35787C72">
      <w:pPr>
        <w:spacing w:before="41" w:line="201" w:lineRule="auto"/>
        <w:ind w:left="120" w:right="117" w:firstLine="0"/>
        <w:jc w:val="both"/>
        <w:rPr>
          <w:rFonts w:hint="eastAsia" w:eastAsia="宋体"/>
          <w:b/>
          <w:sz w:val="24"/>
          <w:lang w:eastAsia="zh-CN"/>
        </w:rPr>
      </w:pPr>
      <w:r>
        <w:rPr>
          <w:rFonts w:hint="eastAsia" w:eastAsia="宋体"/>
          <w:b/>
          <w:sz w:val="24"/>
          <w:highlight w:val="yellow"/>
          <w:lang w:eastAsia="zh-CN"/>
        </w:rPr>
        <w:t>《</w:t>
      </w:r>
      <w:r>
        <w:rPr>
          <w:rFonts w:hint="eastAsia" w:eastAsia="宋体"/>
          <w:b/>
          <w:sz w:val="24"/>
          <w:highlight w:val="yellow"/>
          <w:lang w:val="en-US" w:eastAsia="zh-CN"/>
        </w:rPr>
        <w:t>地址</w:t>
      </w:r>
      <w:r>
        <w:rPr>
          <w:rFonts w:hint="eastAsia" w:eastAsia="宋体"/>
          <w:b/>
          <w:sz w:val="24"/>
          <w:highlight w:val="yellow"/>
          <w:lang w:eastAsia="zh-CN"/>
        </w:rPr>
        <w:t>》</w:t>
      </w:r>
      <w:r>
        <w:rPr>
          <w:b/>
          <w:sz w:val="24"/>
        </w:rPr>
        <w:t xml:space="preserve"> </w:t>
      </w:r>
      <w:r>
        <w:rPr>
          <w:rFonts w:hint="eastAsia" w:eastAsia="宋体"/>
          <w:b/>
          <w:sz w:val="24"/>
          <w:highlight w:val="yellow"/>
          <w:lang w:eastAsia="zh-CN"/>
        </w:rPr>
        <w:t>《</w:t>
      </w:r>
      <w:r>
        <w:rPr>
          <w:rFonts w:hint="eastAsia" w:eastAsia="宋体"/>
          <w:b/>
          <w:sz w:val="24"/>
          <w:highlight w:val="yellow"/>
          <w:lang w:val="en-US" w:eastAsia="zh-CN"/>
        </w:rPr>
        <w:t>邮编</w:t>
      </w:r>
      <w:r>
        <w:rPr>
          <w:rFonts w:hint="eastAsia" w:eastAsia="宋体"/>
          <w:b/>
          <w:sz w:val="24"/>
          <w:highlight w:val="yellow"/>
          <w:lang w:eastAsia="zh-CN"/>
        </w:rPr>
        <w:t>》</w:t>
      </w:r>
      <w:r>
        <w:rPr>
          <w:b/>
          <w:sz w:val="24"/>
        </w:rPr>
        <w:t xml:space="preserve"> </w:t>
      </w:r>
      <w:r>
        <w:rPr>
          <w:rFonts w:hint="eastAsia" w:eastAsia="宋体"/>
          <w:b/>
          <w:sz w:val="24"/>
          <w:highlight w:val="yellow"/>
          <w:lang w:eastAsia="zh-CN"/>
        </w:rPr>
        <w:t>《</w:t>
      </w:r>
      <w:r>
        <w:rPr>
          <w:rFonts w:hint="eastAsia" w:eastAsia="宋体"/>
          <w:b/>
          <w:sz w:val="24"/>
          <w:highlight w:val="yellow"/>
          <w:lang w:val="en-US" w:eastAsia="zh-CN"/>
        </w:rPr>
        <w:t>国家代码（例：CN）</w:t>
      </w:r>
      <w:r>
        <w:rPr>
          <w:rFonts w:hint="eastAsia" w:eastAsia="宋体"/>
          <w:b/>
          <w:sz w:val="24"/>
          <w:highlight w:val="yellow"/>
          <w:lang w:eastAsia="zh-CN"/>
        </w:rPr>
        <w:t>》</w:t>
      </w:r>
    </w:p>
    <w:p w14:paraId="2F383612">
      <w:pPr>
        <w:spacing w:before="41" w:line="201" w:lineRule="auto"/>
        <w:ind w:left="120" w:right="117" w:firstLine="0"/>
        <w:jc w:val="both"/>
        <w:rPr>
          <w:b/>
          <w:sz w:val="24"/>
        </w:rPr>
      </w:pPr>
    </w:p>
    <w:p w14:paraId="2BFF1349">
      <w:pPr>
        <w:pStyle w:val="3"/>
        <w:spacing w:line="277" w:lineRule="exact"/>
        <w:ind w:left="120"/>
        <w:jc w:val="both"/>
      </w:pPr>
      <w:r>
        <w:rPr>
          <w:rFonts w:hint="eastAsia" w:eastAsia="宋体"/>
          <w:lang w:val="en-US" w:eastAsia="zh-CN"/>
        </w:rPr>
        <w:t xml:space="preserve">und </w:t>
      </w:r>
      <w:r>
        <w:t>(im Folgenden kurz,Bevollmächtigte“)</w:t>
      </w:r>
    </w:p>
    <w:p w14:paraId="62ACFA62">
      <w:pPr>
        <w:pStyle w:val="3"/>
        <w:spacing w:before="6"/>
        <w:rPr>
          <w:sz w:val="27"/>
        </w:rPr>
      </w:pPr>
    </w:p>
    <w:p w14:paraId="73555897">
      <w:pPr>
        <w:pStyle w:val="2"/>
      </w:pPr>
      <w:r>
        <w:t>Sea&amp;Mew Consulting GmbH</w:t>
      </w:r>
    </w:p>
    <w:p w14:paraId="07CAF9EA">
      <w:pPr>
        <w:spacing w:before="48"/>
        <w:ind w:left="120" w:right="0" w:firstLine="0"/>
        <w:jc w:val="both"/>
        <w:rPr>
          <w:b/>
          <w:sz w:val="24"/>
        </w:rPr>
      </w:pPr>
      <w:r>
        <w:rPr>
          <w:b/>
          <w:sz w:val="24"/>
        </w:rPr>
        <w:t>Wagramer Straße 102/1/12 , 1220 Wien</w:t>
      </w:r>
    </w:p>
    <w:p w14:paraId="5BA9873A">
      <w:pPr>
        <w:pStyle w:val="3"/>
        <w:spacing w:before="3"/>
        <w:rPr>
          <w:b/>
          <w:sz w:val="27"/>
        </w:rPr>
      </w:pPr>
    </w:p>
    <w:p w14:paraId="3952E51F">
      <w:pPr>
        <w:pStyle w:val="3"/>
        <w:spacing w:before="1" w:line="254" w:lineRule="auto"/>
        <w:ind w:left="120" w:right="263"/>
      </w:pPr>
      <w:r>
        <w:t xml:space="preserve">mich (uns) als Bevollmächtigter die sämtliche Verpflichtungen des </w:t>
      </w:r>
      <w:r>
        <w:rPr>
          <w:spacing w:val="2"/>
        </w:rPr>
        <w:t xml:space="preserve">ausländischen </w:t>
      </w:r>
      <w:r>
        <w:t xml:space="preserve">Herstellers </w:t>
      </w:r>
      <w:r>
        <w:rPr>
          <w:spacing w:val="-3"/>
        </w:rPr>
        <w:t xml:space="preserve">bzw. </w:t>
      </w:r>
      <w:r>
        <w:t xml:space="preserve">Fernabsatzhändlers nach dem AWG 2002 und der 21b EAG-VO für jene Elektro- und Elektronikgeräte zu übermitteln, die dieser in Österreich an andere als Letztverbraucher </w:t>
      </w:r>
      <w:r>
        <w:rPr>
          <w:spacing w:val="-3"/>
        </w:rPr>
        <w:t xml:space="preserve">bzw. </w:t>
      </w:r>
      <w:r>
        <w:t>an Letztverbraucher</w:t>
      </w:r>
      <w:r>
        <w:rPr>
          <w:spacing w:val="53"/>
        </w:rPr>
        <w:t xml:space="preserve"> </w:t>
      </w:r>
      <w:r>
        <w:t>vertreibt.</w:t>
      </w:r>
    </w:p>
    <w:p w14:paraId="06A381D3">
      <w:pPr>
        <w:pStyle w:val="3"/>
        <w:rPr>
          <w:sz w:val="26"/>
        </w:rPr>
      </w:pPr>
    </w:p>
    <w:p w14:paraId="27589644">
      <w:pPr>
        <w:pStyle w:val="3"/>
        <w:spacing w:line="254" w:lineRule="auto"/>
        <w:ind w:left="120" w:right="263"/>
      </w:pPr>
      <w:r>
        <w:t>Der mit der vorliegenden Vereinbarung erteilte Auftrag samt Vollmacht erstreckt sich auf folgende angekreuzte Sammelkategorien der 21b EAG-VO:</w:t>
      </w:r>
    </w:p>
    <w:p w14:paraId="1CFB2E7B">
      <w:pPr>
        <w:pStyle w:val="3"/>
        <w:spacing w:before="10"/>
        <w:rPr>
          <w:sz w:val="25"/>
        </w:rPr>
      </w:pPr>
    </w:p>
    <w:p w14:paraId="6F486DEB">
      <w:pPr>
        <w:pStyle w:val="3"/>
        <w:ind w:left="120"/>
      </w:pPr>
      <w:r>
        <w:t>Haushaltselektrogeräte</w:t>
      </w:r>
    </w:p>
    <w:p w14:paraId="5C8D275C">
      <w:pPr>
        <w:pStyle w:val="7"/>
        <w:numPr>
          <w:ilvl w:val="0"/>
          <w:numId w:val="1"/>
        </w:numPr>
        <w:tabs>
          <w:tab w:val="left" w:pos="389"/>
        </w:tabs>
        <w:spacing w:before="19" w:after="0" w:line="240" w:lineRule="auto"/>
        <w:ind w:left="388" w:right="0" w:hanging="269"/>
        <w:jc w:val="left"/>
        <w:rPr>
          <w:sz w:val="24"/>
        </w:rPr>
      </w:pPr>
      <w:r>
        <w:rPr>
          <w:sz w:val="24"/>
        </w:rPr>
        <w:t>Wärmeübertrager</w:t>
      </w:r>
    </w:p>
    <w:p w14:paraId="17554072">
      <w:pPr>
        <w:pStyle w:val="7"/>
        <w:numPr>
          <w:ilvl w:val="0"/>
          <w:numId w:val="1"/>
        </w:numPr>
        <w:tabs>
          <w:tab w:val="left" w:pos="389"/>
        </w:tabs>
        <w:spacing w:before="19" w:after="0" w:line="240" w:lineRule="auto"/>
        <w:ind w:left="388" w:right="0" w:hanging="269"/>
        <w:jc w:val="left"/>
        <w:rPr>
          <w:sz w:val="24"/>
        </w:rPr>
      </w:pPr>
      <w:r>
        <w:rPr>
          <w:sz w:val="24"/>
        </w:rPr>
        <w:t>Bildschirmgeräte</w:t>
      </w:r>
    </w:p>
    <w:p w14:paraId="68E65971">
      <w:pPr>
        <w:pStyle w:val="7"/>
        <w:numPr>
          <w:ilvl w:val="0"/>
          <w:numId w:val="1"/>
        </w:numPr>
        <w:tabs>
          <w:tab w:val="left" w:pos="389"/>
        </w:tabs>
        <w:spacing w:before="19" w:after="0" w:line="240" w:lineRule="auto"/>
        <w:ind w:left="388" w:right="0" w:hanging="269"/>
        <w:jc w:val="left"/>
        <w:rPr>
          <w:sz w:val="24"/>
        </w:rPr>
      </w:pPr>
      <w:r>
        <w:rPr>
          <w:spacing w:val="2"/>
          <w:sz w:val="24"/>
        </w:rPr>
        <w:t>Gasentladungslampen</w:t>
      </w:r>
    </w:p>
    <w:p w14:paraId="6045880A">
      <w:pPr>
        <w:pStyle w:val="7"/>
        <w:numPr>
          <w:ilvl w:val="0"/>
          <w:numId w:val="1"/>
        </w:numPr>
        <w:tabs>
          <w:tab w:val="left" w:pos="389"/>
        </w:tabs>
        <w:spacing w:before="19" w:after="0" w:line="240" w:lineRule="auto"/>
        <w:ind w:left="388" w:right="0" w:hanging="269"/>
        <w:jc w:val="left"/>
        <w:rPr>
          <w:sz w:val="24"/>
        </w:rPr>
      </w:pPr>
      <w:r>
        <w:rPr>
          <w:sz w:val="24"/>
        </w:rPr>
        <w:t>Lampen, außer</w:t>
      </w:r>
      <w:r>
        <w:rPr>
          <w:spacing w:val="14"/>
          <w:sz w:val="24"/>
        </w:rPr>
        <w:t xml:space="preserve"> </w:t>
      </w:r>
      <w:r>
        <w:rPr>
          <w:spacing w:val="2"/>
          <w:sz w:val="24"/>
        </w:rPr>
        <w:t>Gasentladungslampen</w:t>
      </w:r>
    </w:p>
    <w:p w14:paraId="33F679E4">
      <w:pPr>
        <w:pStyle w:val="7"/>
        <w:numPr>
          <w:ilvl w:val="0"/>
          <w:numId w:val="1"/>
        </w:numPr>
        <w:tabs>
          <w:tab w:val="left" w:pos="389"/>
        </w:tabs>
        <w:spacing w:before="19" w:after="0" w:line="240" w:lineRule="auto"/>
        <w:ind w:left="388" w:right="0" w:hanging="269"/>
        <w:jc w:val="left"/>
        <w:rPr>
          <w:sz w:val="24"/>
        </w:rPr>
      </w:pPr>
      <w:r>
        <w:rPr>
          <w:sz w:val="24"/>
        </w:rPr>
        <w:t>Großgeräte</w:t>
      </w:r>
    </w:p>
    <w:p w14:paraId="4C672504">
      <w:pPr>
        <w:pStyle w:val="7"/>
        <w:numPr>
          <w:ilvl w:val="0"/>
          <w:numId w:val="1"/>
        </w:numPr>
        <w:tabs>
          <w:tab w:val="left" w:pos="389"/>
        </w:tabs>
        <w:spacing w:before="19" w:after="0" w:line="240" w:lineRule="auto"/>
        <w:ind w:left="388" w:right="0" w:hanging="269"/>
        <w:jc w:val="left"/>
        <w:rPr>
          <w:sz w:val="24"/>
        </w:rPr>
      </w:pPr>
      <w:r>
        <w:rPr>
          <w:sz w:val="24"/>
        </w:rPr>
        <w:t>Kleine Geräte der</w:t>
      </w:r>
      <w:r>
        <w:rPr>
          <w:spacing w:val="22"/>
          <w:sz w:val="24"/>
        </w:rPr>
        <w:t xml:space="preserve"> </w:t>
      </w:r>
      <w:r>
        <w:rPr>
          <w:sz w:val="24"/>
        </w:rPr>
        <w:t>IT&amp;TK</w:t>
      </w:r>
    </w:p>
    <w:p w14:paraId="0F6C6CA7">
      <w:pPr>
        <w:pStyle w:val="3"/>
        <w:spacing w:before="19"/>
        <w:ind w:left="120"/>
      </w:pPr>
      <w:r>
        <w:rPr>
          <w:rFonts w:ascii="Wingdings" w:hAnsi="Wingdings"/>
        </w:rPr>
        <w:t></w:t>
      </w:r>
      <w:r>
        <w:rPr>
          <w:rFonts w:ascii="Times New Roman" w:hAnsi="Times New Roman"/>
        </w:rPr>
        <w:t xml:space="preserve"> </w:t>
      </w:r>
      <w:r>
        <w:t>Kleingeräte</w:t>
      </w:r>
    </w:p>
    <w:p w14:paraId="158321CB">
      <w:pPr>
        <w:pStyle w:val="3"/>
        <w:spacing w:before="19"/>
        <w:ind w:left="120"/>
      </w:pPr>
    </w:p>
    <w:p w14:paraId="26FABB9E">
      <w:pPr>
        <w:pStyle w:val="3"/>
        <w:ind w:left="120"/>
      </w:pPr>
      <w:r>
        <w:rPr>
          <w:u w:val="single"/>
        </w:rPr>
        <w:t>Gewerbliche</w:t>
      </w:r>
      <w:r>
        <w:t xml:space="preserve"> Elektrogeräte</w:t>
      </w:r>
    </w:p>
    <w:p w14:paraId="6850F87F">
      <w:pPr>
        <w:pStyle w:val="7"/>
        <w:numPr>
          <w:ilvl w:val="0"/>
          <w:numId w:val="1"/>
        </w:numPr>
        <w:tabs>
          <w:tab w:val="left" w:pos="389"/>
        </w:tabs>
        <w:spacing w:before="19" w:after="0" w:line="240" w:lineRule="auto"/>
        <w:ind w:left="388" w:right="0" w:hanging="269"/>
        <w:jc w:val="left"/>
        <w:rPr>
          <w:sz w:val="24"/>
        </w:rPr>
      </w:pPr>
      <w:r>
        <w:rPr>
          <w:sz w:val="24"/>
        </w:rPr>
        <w:t>Wärmeübertrager</w:t>
      </w:r>
    </w:p>
    <w:p w14:paraId="012CEA5E">
      <w:pPr>
        <w:pStyle w:val="7"/>
        <w:numPr>
          <w:ilvl w:val="0"/>
          <w:numId w:val="1"/>
        </w:numPr>
        <w:tabs>
          <w:tab w:val="left" w:pos="389"/>
        </w:tabs>
        <w:spacing w:before="19" w:after="0" w:line="240" w:lineRule="auto"/>
        <w:ind w:left="388" w:right="0" w:hanging="269"/>
        <w:jc w:val="left"/>
        <w:rPr>
          <w:sz w:val="24"/>
        </w:rPr>
      </w:pPr>
      <w:r>
        <w:rPr>
          <w:sz w:val="24"/>
        </w:rPr>
        <w:t>Bildschirmgeräte</w:t>
      </w:r>
    </w:p>
    <w:p w14:paraId="4FD18225">
      <w:pPr>
        <w:pStyle w:val="7"/>
        <w:numPr>
          <w:ilvl w:val="0"/>
          <w:numId w:val="1"/>
        </w:numPr>
        <w:tabs>
          <w:tab w:val="left" w:pos="389"/>
        </w:tabs>
        <w:spacing w:before="19" w:after="0" w:line="240" w:lineRule="auto"/>
        <w:ind w:left="388" w:right="0" w:hanging="269"/>
        <w:jc w:val="left"/>
        <w:rPr>
          <w:sz w:val="24"/>
        </w:rPr>
      </w:pPr>
      <w:r>
        <w:rPr>
          <w:spacing w:val="2"/>
          <w:sz w:val="24"/>
        </w:rPr>
        <w:t>Gasentladungslampen</w:t>
      </w:r>
    </w:p>
    <w:p w14:paraId="3005D68B">
      <w:pPr>
        <w:pStyle w:val="7"/>
        <w:numPr>
          <w:ilvl w:val="0"/>
          <w:numId w:val="1"/>
        </w:numPr>
        <w:tabs>
          <w:tab w:val="left" w:pos="389"/>
        </w:tabs>
        <w:spacing w:before="19" w:after="0" w:line="240" w:lineRule="auto"/>
        <w:ind w:left="388" w:right="0" w:hanging="269"/>
        <w:jc w:val="left"/>
        <w:rPr>
          <w:sz w:val="24"/>
        </w:rPr>
      </w:pPr>
      <w:r>
        <w:rPr>
          <w:sz w:val="24"/>
        </w:rPr>
        <w:t>Lampen, außer</w:t>
      </w:r>
      <w:r>
        <w:rPr>
          <w:spacing w:val="14"/>
          <w:sz w:val="24"/>
        </w:rPr>
        <w:t xml:space="preserve"> </w:t>
      </w:r>
      <w:r>
        <w:rPr>
          <w:spacing w:val="2"/>
          <w:sz w:val="24"/>
        </w:rPr>
        <w:t>Gasentladungslampen</w:t>
      </w:r>
    </w:p>
    <w:p w14:paraId="3BCCBE7D">
      <w:pPr>
        <w:pStyle w:val="7"/>
        <w:numPr>
          <w:ilvl w:val="0"/>
          <w:numId w:val="1"/>
        </w:numPr>
        <w:tabs>
          <w:tab w:val="left" w:pos="389"/>
        </w:tabs>
        <w:spacing w:before="19" w:after="0" w:line="240" w:lineRule="auto"/>
        <w:ind w:left="388" w:right="0" w:hanging="269"/>
        <w:jc w:val="left"/>
        <w:rPr>
          <w:sz w:val="24"/>
        </w:rPr>
      </w:pPr>
      <w:r>
        <w:rPr>
          <w:sz w:val="24"/>
        </w:rPr>
        <w:t>Großgeräte</w:t>
      </w:r>
    </w:p>
    <w:p w14:paraId="283CB9A1">
      <w:pPr>
        <w:pStyle w:val="7"/>
        <w:numPr>
          <w:ilvl w:val="0"/>
          <w:numId w:val="1"/>
        </w:numPr>
        <w:tabs>
          <w:tab w:val="left" w:pos="389"/>
        </w:tabs>
        <w:spacing w:before="19" w:after="0" w:line="240" w:lineRule="auto"/>
        <w:ind w:left="388" w:right="0" w:hanging="269"/>
        <w:jc w:val="left"/>
        <w:rPr>
          <w:sz w:val="24"/>
        </w:rPr>
      </w:pPr>
      <w:r>
        <w:rPr>
          <w:sz w:val="24"/>
        </w:rPr>
        <w:t>Kleine Geräte der</w:t>
      </w:r>
      <w:r>
        <w:rPr>
          <w:spacing w:val="22"/>
          <w:sz w:val="24"/>
        </w:rPr>
        <w:t xml:space="preserve"> </w:t>
      </w:r>
      <w:r>
        <w:rPr>
          <w:sz w:val="24"/>
        </w:rPr>
        <w:t>IT&amp;TK</w:t>
      </w:r>
    </w:p>
    <w:p w14:paraId="736B9EF6">
      <w:pPr>
        <w:pStyle w:val="7"/>
        <w:numPr>
          <w:ilvl w:val="0"/>
          <w:numId w:val="1"/>
        </w:numPr>
        <w:tabs>
          <w:tab w:val="left" w:pos="389"/>
        </w:tabs>
        <w:spacing w:before="19" w:after="0" w:line="240" w:lineRule="auto"/>
        <w:ind w:left="388" w:right="0" w:hanging="269"/>
        <w:jc w:val="left"/>
        <w:rPr>
          <w:sz w:val="24"/>
        </w:rPr>
      </w:pPr>
      <w:r>
        <w:rPr>
          <w:sz w:val="24"/>
        </w:rPr>
        <w:t>Kleingeräte</w:t>
      </w:r>
    </w:p>
    <w:p w14:paraId="4C598F40">
      <w:pPr>
        <w:pStyle w:val="7"/>
        <w:numPr>
          <w:ilvl w:val="0"/>
          <w:numId w:val="1"/>
        </w:numPr>
        <w:tabs>
          <w:tab w:val="left" w:pos="389"/>
        </w:tabs>
        <w:spacing w:before="19" w:after="0" w:line="240" w:lineRule="auto"/>
        <w:ind w:left="388" w:right="0" w:hanging="269"/>
        <w:jc w:val="left"/>
        <w:rPr>
          <w:sz w:val="24"/>
        </w:rPr>
      </w:pPr>
      <w:r>
        <w:rPr>
          <w:sz w:val="24"/>
        </w:rPr>
        <w:t>Photovoltaikmodule</w:t>
      </w:r>
    </w:p>
    <w:p w14:paraId="65327060">
      <w:pPr>
        <w:spacing w:after="0" w:line="240" w:lineRule="auto"/>
        <w:jc w:val="left"/>
        <w:rPr>
          <w:sz w:val="24"/>
        </w:rPr>
        <w:sectPr>
          <w:footerReference r:id="rId5" w:type="default"/>
          <w:type w:val="continuous"/>
          <w:pgSz w:w="11910" w:h="16840"/>
          <w:pgMar w:top="1580" w:right="1680" w:bottom="1180" w:left="1680" w:header="720" w:footer="985" w:gutter="0"/>
          <w:pgNumType w:start="1"/>
          <w:cols w:space="720" w:num="1"/>
        </w:sectPr>
      </w:pPr>
    </w:p>
    <w:p w14:paraId="04DFF8CD">
      <w:pPr>
        <w:pStyle w:val="3"/>
        <w:rPr>
          <w:sz w:val="20"/>
        </w:rPr>
      </w:pPr>
    </w:p>
    <w:p w14:paraId="74EDBC4B">
      <w:pPr>
        <w:pStyle w:val="3"/>
        <w:spacing w:before="4"/>
        <w:rPr>
          <w:sz w:val="26"/>
        </w:rPr>
      </w:pPr>
    </w:p>
    <w:p w14:paraId="2A04C727">
      <w:pPr>
        <w:pStyle w:val="3"/>
        <w:spacing w:before="52" w:line="254" w:lineRule="auto"/>
        <w:ind w:left="120" w:right="263"/>
      </w:pPr>
      <w:r>
        <w:t xml:space="preserve">Der Bevollmächtigte stimmt ausdrücklich zu, die Verpflichtungen des Herstellers in Österreich nach der 21b EAG-VO und dem Abfallwirtschaftsgesetz zu </w:t>
      </w:r>
      <w:r>
        <w:rPr>
          <w:spacing w:val="2"/>
        </w:rPr>
        <w:t xml:space="preserve">übernehmen. </w:t>
      </w:r>
      <w:r>
        <w:t xml:space="preserve">Der Bevollmächtigte hat die von seinem Vollmachtgeber in Verkehr gesetzten Massen an Elektro- und Elektronikgeräten sowie die zur </w:t>
      </w:r>
      <w:r>
        <w:rPr>
          <w:spacing w:val="2"/>
        </w:rPr>
        <w:t xml:space="preserve">Wiederverwendung </w:t>
      </w:r>
      <w:r>
        <w:t>vorbereiteten Massen an Elektro- und Elektronikgeräten an das Register gemäß §   22 Absatz 1 AWG 2002 zu</w:t>
      </w:r>
      <w:r>
        <w:rPr>
          <w:spacing w:val="39"/>
        </w:rPr>
        <w:t xml:space="preserve"> </w:t>
      </w:r>
      <w:r>
        <w:t>melden.</w:t>
      </w:r>
    </w:p>
    <w:p w14:paraId="6B4B342D">
      <w:pPr>
        <w:pStyle w:val="3"/>
      </w:pPr>
    </w:p>
    <w:p w14:paraId="3E07ACD6">
      <w:pPr>
        <w:pStyle w:val="3"/>
      </w:pPr>
    </w:p>
    <w:p w14:paraId="2C3AFC91">
      <w:pPr>
        <w:pStyle w:val="3"/>
      </w:pPr>
    </w:p>
    <w:p w14:paraId="4E46E7A6">
      <w:pPr>
        <w:pStyle w:val="3"/>
      </w:pPr>
    </w:p>
    <w:p w14:paraId="6878AC7E">
      <w:pPr>
        <w:pStyle w:val="3"/>
      </w:pPr>
    </w:p>
    <w:p w14:paraId="641C990C">
      <w:pPr>
        <w:pStyle w:val="3"/>
      </w:pPr>
    </w:p>
    <w:p w14:paraId="187893B1">
      <w:pPr>
        <w:pStyle w:val="3"/>
        <w:spacing w:before="7"/>
        <w:rPr>
          <w:sz w:val="35"/>
        </w:rPr>
      </w:pPr>
    </w:p>
    <w:p w14:paraId="5CB55DEB">
      <w:pPr>
        <w:pStyle w:val="3"/>
        <w:tabs>
          <w:tab w:val="left" w:pos="4773"/>
        </w:tabs>
        <w:spacing w:before="1"/>
        <w:ind w:left="120"/>
      </w:pPr>
      <w:r>
        <w:t>Ort,</w:t>
      </w:r>
      <w:r>
        <w:rPr>
          <w:spacing w:val="8"/>
        </w:rPr>
        <w:t xml:space="preserve"> </w:t>
      </w:r>
      <w:r>
        <w:t>Datum</w:t>
      </w:r>
      <w:r>
        <w:tab/>
      </w:r>
      <w:r>
        <w:t>Ort,</w:t>
      </w:r>
      <w:r>
        <w:rPr>
          <w:spacing w:val="6"/>
        </w:rPr>
        <w:t xml:space="preserve"> </w:t>
      </w:r>
      <w:r>
        <w:t>Datum</w:t>
      </w:r>
    </w:p>
    <w:p w14:paraId="03D440FF">
      <w:pPr>
        <w:pStyle w:val="3"/>
      </w:pPr>
    </w:p>
    <w:p w14:paraId="5770A54A">
      <w:pPr>
        <w:pStyle w:val="3"/>
      </w:pPr>
    </w:p>
    <w:p w14:paraId="102E31BB">
      <w:pPr>
        <w:pStyle w:val="3"/>
      </w:pPr>
    </w:p>
    <w:p w14:paraId="4EC45B99">
      <w:pPr>
        <w:pStyle w:val="3"/>
        <w:spacing w:before="9"/>
        <w:rPr>
          <w:sz w:val="31"/>
        </w:rPr>
      </w:pPr>
    </w:p>
    <w:p w14:paraId="24D8B220">
      <w:pPr>
        <w:pStyle w:val="3"/>
        <w:tabs>
          <w:tab w:val="left" w:pos="4845"/>
        </w:tabs>
        <w:ind w:left="120"/>
      </w:pPr>
      <w:r>
        <w:t>Vollmachtgeber</w:t>
      </w:r>
      <w:r>
        <w:rPr>
          <w:rFonts w:hint="eastAsia" w:eastAsia="宋体"/>
          <w:lang w:val="en-US" w:eastAsia="zh-CN"/>
        </w:rPr>
        <w:t>(《</w:t>
      </w:r>
      <w:r>
        <w:rPr>
          <w:rFonts w:hint="eastAsia" w:eastAsia="宋体"/>
          <w:highlight w:val="yellow"/>
          <w:lang w:val="en-US" w:eastAsia="zh-CN"/>
        </w:rPr>
        <w:t>法人名（</w:t>
      </w:r>
      <w:bookmarkStart w:id="0" w:name="_GoBack"/>
      <w:bookmarkEnd w:id="0"/>
      <w:r>
        <w:rPr>
          <w:rFonts w:hint="eastAsia" w:eastAsia="宋体"/>
          <w:highlight w:val="yellow"/>
          <w:lang w:val="en-US" w:eastAsia="zh-CN"/>
        </w:rPr>
        <w:t>名前姓后加空格）</w:t>
      </w:r>
      <w:r>
        <w:rPr>
          <w:rFonts w:hint="eastAsia" w:eastAsia="宋体"/>
          <w:lang w:val="en-US" w:eastAsia="zh-CN"/>
        </w:rPr>
        <w:t>》)</w:t>
      </w:r>
      <w:r>
        <w:tab/>
      </w:r>
      <w:r>
        <w:t>Vollmachtnehmer</w:t>
      </w:r>
    </w:p>
    <w:sectPr>
      <w:pgSz w:w="11910" w:h="16840"/>
      <w:pgMar w:top="1580" w:right="1680" w:bottom="1180" w:left="1680" w:header="0" w:footer="98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91789">
    <w:pPr>
      <w:pStyle w:val="3"/>
      <w:spacing w:line="14" w:lineRule="auto"/>
      <w:rPr>
        <w:sz w:val="20"/>
      </w:rPr>
    </w:pPr>
    <w:r>
      <w:pict>
        <v:shape id="_x0000_s4097" o:spid="_x0000_s4097" o:spt="202" type="#_x0000_t202" style="position:absolute;left:0pt;margin-left:478.8pt;margin-top:781.65pt;height:11.95pt;width:28.05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6798AF86">
                <w:pPr>
                  <w:spacing w:before="14"/>
                  <w:ind w:left="40" w:right="0" w:firstLine="0"/>
                  <w:jc w:val="left"/>
                  <w:rPr>
                    <w:rFonts w:ascii="Arial"/>
                    <w:sz w:val="17"/>
                  </w:rPr>
                </w:pPr>
                <w:r>
                  <w:fldChar w:fldCharType="begin"/>
                </w:r>
                <w:r>
                  <w:rPr>
                    <w:sz w:val="17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sz w:val="17"/>
                  </w:rPr>
                  <w:t xml:space="preserve"> </w:t>
                </w:r>
                <w:r>
                  <w:rPr>
                    <w:rFonts w:ascii="Arial"/>
                    <w:spacing w:val="-8"/>
                    <w:sz w:val="17"/>
                  </w:rPr>
                  <w:t xml:space="preserve">von </w:t>
                </w:r>
                <w:r>
                  <w:rPr>
                    <w:rFonts w:ascii="Arial"/>
                    <w:sz w:val="17"/>
                  </w:rPr>
                  <w:t>2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0"/>
      <w:numFmt w:val="bullet"/>
      <w:lvlText w:val=""/>
      <w:lvlJc w:val="left"/>
      <w:pPr>
        <w:ind w:left="388" w:hanging="269"/>
      </w:pPr>
      <w:rPr>
        <w:rFonts w:hint="default" w:ascii="Wingdings" w:hAnsi="Wingdings" w:eastAsia="Wingdings" w:cs="Wingdings"/>
        <w:w w:val="100"/>
        <w:sz w:val="24"/>
        <w:szCs w:val="24"/>
        <w:lang w:val="de-DE" w:eastAsia="de-DE" w:bidi="de-DE"/>
      </w:rPr>
    </w:lvl>
    <w:lvl w:ilvl="1" w:tentative="0">
      <w:start w:val="0"/>
      <w:numFmt w:val="bullet"/>
      <w:lvlText w:val="•"/>
      <w:lvlJc w:val="left"/>
      <w:pPr>
        <w:ind w:left="1196" w:hanging="269"/>
      </w:pPr>
      <w:rPr>
        <w:rFonts w:hint="default"/>
        <w:lang w:val="de-DE" w:eastAsia="de-DE" w:bidi="de-DE"/>
      </w:rPr>
    </w:lvl>
    <w:lvl w:ilvl="2" w:tentative="0">
      <w:start w:val="0"/>
      <w:numFmt w:val="bullet"/>
      <w:lvlText w:val="•"/>
      <w:lvlJc w:val="left"/>
      <w:pPr>
        <w:ind w:left="2013" w:hanging="269"/>
      </w:pPr>
      <w:rPr>
        <w:rFonts w:hint="default"/>
        <w:lang w:val="de-DE" w:eastAsia="de-DE" w:bidi="de-DE"/>
      </w:rPr>
    </w:lvl>
    <w:lvl w:ilvl="3" w:tentative="0">
      <w:start w:val="0"/>
      <w:numFmt w:val="bullet"/>
      <w:lvlText w:val="•"/>
      <w:lvlJc w:val="left"/>
      <w:pPr>
        <w:ind w:left="2829" w:hanging="269"/>
      </w:pPr>
      <w:rPr>
        <w:rFonts w:hint="default"/>
        <w:lang w:val="de-DE" w:eastAsia="de-DE" w:bidi="de-DE"/>
      </w:rPr>
    </w:lvl>
    <w:lvl w:ilvl="4" w:tentative="0">
      <w:start w:val="0"/>
      <w:numFmt w:val="bullet"/>
      <w:lvlText w:val="•"/>
      <w:lvlJc w:val="left"/>
      <w:pPr>
        <w:ind w:left="3646" w:hanging="269"/>
      </w:pPr>
      <w:rPr>
        <w:rFonts w:hint="default"/>
        <w:lang w:val="de-DE" w:eastAsia="de-DE" w:bidi="de-DE"/>
      </w:rPr>
    </w:lvl>
    <w:lvl w:ilvl="5" w:tentative="0">
      <w:start w:val="0"/>
      <w:numFmt w:val="bullet"/>
      <w:lvlText w:val="•"/>
      <w:lvlJc w:val="left"/>
      <w:pPr>
        <w:ind w:left="4463" w:hanging="269"/>
      </w:pPr>
      <w:rPr>
        <w:rFonts w:hint="default"/>
        <w:lang w:val="de-DE" w:eastAsia="de-DE" w:bidi="de-DE"/>
      </w:rPr>
    </w:lvl>
    <w:lvl w:ilvl="6" w:tentative="0">
      <w:start w:val="0"/>
      <w:numFmt w:val="bullet"/>
      <w:lvlText w:val="•"/>
      <w:lvlJc w:val="left"/>
      <w:pPr>
        <w:ind w:left="5279" w:hanging="269"/>
      </w:pPr>
      <w:rPr>
        <w:rFonts w:hint="default"/>
        <w:lang w:val="de-DE" w:eastAsia="de-DE" w:bidi="de-DE"/>
      </w:rPr>
    </w:lvl>
    <w:lvl w:ilvl="7" w:tentative="0">
      <w:start w:val="0"/>
      <w:numFmt w:val="bullet"/>
      <w:lvlText w:val="•"/>
      <w:lvlJc w:val="left"/>
      <w:pPr>
        <w:ind w:left="6096" w:hanging="269"/>
      </w:pPr>
      <w:rPr>
        <w:rFonts w:hint="default"/>
        <w:lang w:val="de-DE" w:eastAsia="de-DE" w:bidi="de-DE"/>
      </w:rPr>
    </w:lvl>
    <w:lvl w:ilvl="8" w:tentative="0">
      <w:start w:val="0"/>
      <w:numFmt w:val="bullet"/>
      <w:lvlText w:val="•"/>
      <w:lvlJc w:val="left"/>
      <w:pPr>
        <w:ind w:left="6912" w:hanging="269"/>
      </w:pPr>
      <w:rPr>
        <w:rFonts w:hint="default"/>
        <w:lang w:val="de-DE" w:eastAsia="de-DE" w:bidi="de-D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rsids>
    <w:rsidRoot w:val="00000000"/>
    <w:rsid w:val="04B62141"/>
    <w:rsid w:val="08D5481E"/>
    <w:rsid w:val="4A9D50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libri" w:hAnsi="Calibri" w:eastAsia="Calibri" w:cs="Calibri"/>
      <w:sz w:val="22"/>
      <w:szCs w:val="22"/>
      <w:lang w:val="de-DE" w:eastAsia="de-DE" w:bidi="de-DE"/>
    </w:rPr>
  </w:style>
  <w:style w:type="paragraph" w:styleId="2">
    <w:name w:val="heading 1"/>
    <w:basedOn w:val="1"/>
    <w:qFormat/>
    <w:uiPriority w:val="1"/>
    <w:pPr>
      <w:ind w:left="120"/>
      <w:jc w:val="both"/>
      <w:outlineLvl w:val="1"/>
    </w:pPr>
    <w:rPr>
      <w:rFonts w:ascii="Calibri" w:hAnsi="Calibri" w:eastAsia="Calibri" w:cs="Calibri"/>
      <w:b/>
      <w:bCs/>
      <w:sz w:val="24"/>
      <w:szCs w:val="24"/>
      <w:lang w:val="de-DE" w:eastAsia="de-DE" w:bidi="de-DE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Calibri" w:hAnsi="Calibri" w:eastAsia="Calibri" w:cs="Calibri"/>
      <w:sz w:val="24"/>
      <w:szCs w:val="24"/>
      <w:lang w:val="de-DE" w:eastAsia="de-DE" w:bidi="de-DE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spacing w:before="19"/>
      <w:ind w:left="388" w:hanging="269"/>
    </w:pPr>
    <w:rPr>
      <w:rFonts w:ascii="Calibri" w:hAnsi="Calibri" w:eastAsia="Calibri" w:cs="Calibri"/>
      <w:lang w:val="de-DE" w:eastAsia="de-DE" w:bidi="de-DE"/>
    </w:rPr>
  </w:style>
  <w:style w:type="paragraph" w:customStyle="1" w:styleId="8">
    <w:name w:val="Table Paragraph"/>
    <w:basedOn w:val="1"/>
    <w:qFormat/>
    <w:uiPriority w:val="1"/>
    <w:rPr>
      <w:lang w:val="de-DE" w:eastAsia="de-DE" w:bidi="de-D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195</Words>
  <Characters>1432</Characters>
  <TotalTime>3</TotalTime>
  <ScaleCrop>false</ScaleCrop>
  <LinksUpToDate>false</LinksUpToDate>
  <CharactersWithSpaces>1600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2024-05-31T08:37:00Z</dcterms:created>
  <dc:creator>Sea&amp;Mew Accounting Ltd</dc:creator>
  <cp:lastModifiedBy>Sea&amp;Mew Accounting Ltd</cp:lastModifiedBy>
  <dcterms:modified xsi:type="dcterms:W3CDTF">2026-07-31T02:59:32Z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2024-05-31T00:00:00Z</vt:filetime>
  </property>
  <property fmtid="{D5CDD505-2E9C-101B-9397-08002B2CF9AE}" pid="5" name="KSOTemplateDocerSaveRecord">
    <vt:lpwstr>eyJoZGlkIjoiNTE5ZjlmYjE5NzAzOWZiNWE5NTBiODY4MzZjYmYzNTIiLCJ1c2VySWQiOiI5NzY1MjgwMjEifQ==</vt:lpwstr>
  </property>
  <property fmtid="{D5CDD505-2E9C-101B-9397-08002B2CF9AE}" pid="6" name="KSOProductBuildVer">
    <vt:lpwstr>2052-12.1.0.26895</vt:lpwstr>
  </property>
  <property fmtid="{D5CDD505-2E9C-101B-9397-08002B2CF9AE}" pid="7" name="ICV">
    <vt:lpwstr>8F9A903B545C4450BC2696D8531A0BC3_12</vt:lpwstr>
  </property>
</Properties>
</file>